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W w:w="1071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0"/>
              </w:rPr>
            </w:pPr>
            <w:bookmarkStart w:id="1" w:name="_GoBack"/>
            <w:bookmarkEnd w:id="1"/>
            <w:r>
              <w:rPr>
                <w:rFonts w:hint="default"/>
                <w:position w:val="-61"/>
                <w:sz w:val="20"/>
              </w:rPr>
              <w:pict>
                <v:shape id="_x0000_i1025" o:spt="75" type="#_x0000_t75" style="height:71.25pt;width:300pt;" filled="f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8335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48"/>
              </w:rPr>
            </w:pPr>
            <w:r>
              <w:rPr>
                <w:rFonts w:hint="default"/>
                <w:sz w:val="48"/>
              </w:rPr>
              <w:t>Закон Вологодской области от 07.12.2015 N 3806-ОЗ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"Об отдельных вопросах осуществления общественного контроля в Вологодской области"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(принят Постановлением ЗС Вологодской области от 25.11.2015 N 720)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Документ предоставлен </w:t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\o "Ссылка на КонсультантПлюс"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КонсультантПлюс</w:t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t>www.consultant.ru</w:t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Дата сохранения: 21.11.2018</w:t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 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6" w:h="16838"/>
          <w:pgMar w:top="841" w:right="595" w:bottom="841" w:left="595" w:header="0" w:footer="0" w:gutter="0"/>
          <w:cols w:space="720" w:num="1"/>
        </w:sectPr>
      </w:pPr>
    </w:p>
    <w:p>
      <w:pPr>
        <w:pStyle w:val="4"/>
        <w:spacing w:beforeLines="0" w:afterLines="0"/>
        <w:jc w:val="both"/>
        <w:outlineLvl w:val="0"/>
        <w:rPr>
          <w:rFonts w:hint="default"/>
          <w:sz w:val="20"/>
        </w:rPr>
      </w:pPr>
    </w:p>
    <w:tbl>
      <w:tblPr>
        <w:tblStyle w:val="3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7 декабря 2015 года</w:t>
            </w:r>
          </w:p>
        </w:tc>
        <w:tc>
          <w:tcPr>
            <w:tcW w:w="5103" w:type="dxa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N 3806-ОЗ</w:t>
            </w:r>
          </w:p>
        </w:tc>
      </w:tr>
    </w:tbl>
    <w:p>
      <w:pPr>
        <w:pStyle w:val="4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ВОЛОГОДСКАЯ ОБЛАСТЬ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ЗАКОН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ОБ ОТДЕЛЬНЫХ ВОПРОСАХ ОСУЩЕСТВЛЕНИЯ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ОБЩЕСТВЕННОГО КОНТРОЛЯ В ВОЛОГОДСКОЙ ОБЛАСТИ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Принят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Постановлением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Законодательного Собрания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Вологодской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от 25 ноября 2015 г. N 720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Статья 1. Предмет регулирования настоящего закона области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Настоящий закон области в соответствии с Федеральным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consultantplus://offline/ref=98346F8973E85618503F0A81D054F3EB67054BD0DF1A58B02601135996C33DC7B9B47FF179CBBDA491C3EC8918f544G \o "Федеральный закон от 21.07.2014 N 212-ФЗ (ред. от 29.12.2017) \"Об основах общественного контроля в Российской Федерации\"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законом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от 21 июля 2014 года N 212-ФЗ "Об основах общественного контроля в Российской Федерации" (далее - Федеральный закон) регулирует отдельные вопросы осуществления общественного контроля за деятельностью органов государственной власти Вологодской области, государственных организаций Вологодской области (далее - органы государственной власти, государственные организации области).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Статья 2. Осуществление общественного контроля Общественной палатой области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Общественная палата области осуществляет общественный контроль в порядке, установленном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consultantplus://offline/ref=98346F8973E85618503F148CC638ADEF600612DDDC185AE17B57150EC9933B92EBF421A82A8EF6A892DCF0881842289764fB4CG \o "Закон Вологодской области от 02.07.2008 N 1811-ОЗ (ред. от 04.10.2018) \"Об Общественной палате Вологодской области\" (принят Постановлением ЗС Вологодской области от 25.06.2008 N 503)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законом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области от 2 июля 2008 года N 1811-ОЗ "Об Общественной палате Вологодской области".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Статья 3. Осуществление общественного контроля общественным советом при Законодательном Собрании области, общественными советами при органах исполнительной государственной власти области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1. Общественный совет при Законодательном Собрании области, а также общественные советы при органах исполнительной государственной власти области выполняют консультативно-совещательные функции по вопросам, отнесенным к ведению соответственно Законодательного Собрания области, органов исполнительной государственной власти области.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Порядок и формы участия в осуществлении общественного контроля общественным советом при Законодательном Собрании области, общественными советами при органах исполнительной государственной власти области определяются нормативными правовыми актами Законодательного Собрания области, Губернатора области.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0"/>
        </w:rPr>
      </w:pPr>
      <w:bookmarkStart w:id="0" w:name="Par30"/>
      <w:bookmarkEnd w:id="0"/>
      <w:r>
        <w:rPr>
          <w:rFonts w:hint="default"/>
          <w:sz w:val="20"/>
        </w:rPr>
        <w:t>Статья 4. Случаи и порядок посещения органов государственной власти и государственных организаций области субъектами общественного контроля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1. Субъекты общественного контроля вправе посещать органы государственной власти, государственные организации области в случае проведения мероприятий по осуществлению общественного контроля в форме общественной проверки, в том числе в случае необходимости ознакомления с документами и иными материалами, которые не могут быть предоставлены субъекту общественного контроля иным образом.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2. Субъект общественного контроля направляет письменное уведомление о посещении органов государственной власти, государственных организаций области (далее - уведомление) не позднее чем за пять рабочих дней до даты посещения.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3. В уведомлении субъекта общественного контроля указываются: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1) основание и цель посещения;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2) дата и время посещения;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3) персональный состав лиц, уполномоченных субъектом общественного контроля на посещение;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4) регламент посещения.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4.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"Интернет", а также посредством иных средств связи.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5. Органы государственной власти, государственные организации области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органы государственной власти, государственные организации области,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соответствующими регламентами органов государственной власти, государственных организаций области.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6. При наличии в органах государственной власти и государственных организациях области, в отношении которых проводится общественный контроль, специального режима доступа граждан посещение указанных органов государственной власти, государственных организаций области осуществляется согласно установленному режиму.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Статья 5. Порядок организации и проведения общественной проверки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1. Порядок организации и проведения общественной проверки устанавливается ее организатором с учетом положений федеральных законов, настоящего закона области, иных нормативных правовых актов области.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Организатор общественной проверки при подготовке и проведении общественной проверки: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1) в срок не позднее чем за десять рабочих дней до начала проверки в письменной форме доводит до сведения руководителя проверяемого органа государственной власти, государственной организации области о планируемой общественной проверке с указанием оснований для ее проведения, сроков, порядка ее проведения и определения результатов;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2) в срок не позднее чем за пять рабочих дней до начала общественной проверки направляет в органы государственной власти, государственные организации области запрос о предоставлении необходимых для проведения общественной проверки документов и других материалов. Указанные документы и материалы должны быть предоставлены организатору общественной проверки в течение трех рабочих дней с момента получения соответствующего запроса;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3) в порядке, предусмотренном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Par30  \o "Статья 4. Случаи и порядок посещения органов государственной власти и государственных организаций области субъектами общественного контроля"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статьей 4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настоящего закона области, посещает территории и помещения, занимаемые проверяемыми органами государственной власти, государственными организациями области;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4) в соответствии с предметом общественной проверки знакомится со всеми необходимыми документами, касающимися деятельности проверяемых органов государственной власти, государственных организаций области, за исключением документов, содержащих сведения, составляющие государственную тайну, сведения о персональных данных и информацию, доступ к которой ограничен федеральными законами.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3. Итоговый документ (акт), подготовленный по результатам общественной проверки, в течение семи рабочих дней после ее окончания направляется руководителю проверяемого органа государственной власти, государственной организации области, иным заинтересованным лицам, а также размещается в информационно-телекоммуникационной сети "Интернет".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Статья 6. Порядок проведения общественной экспертизы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1. Порядок проведения общественной экспертизы устанавливается ее организатором с учетом положений федеральных законов, настоящего закона области, иных нормативных правовых актов области.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В случаях, когда проведение общественной экспертизы в соответствии с федеральными законами является обязательным, организаторами общественной экспертизы являются общественные советы, Общественная палата Вологодской области.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3. Организатор общественной экспертизы объявляет о начале проведения общественной экспертизы путем размещения в информационно-телекоммуникационной сети "Интернет" информации о начале проведения общественной экспертизы, привлечении к ее проведению экспертов, создании экспертной комиссии.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4. Организатор общественной экспертизы в срок не позднее чем через тридцать дней с момента объявления о начале общественной экспертизы направляет в органы государственной власти, государственные организации области запрос о предоставлении документов, подлежащих экспертизе, а также иных необходимых материалов. Указанные документы и материалы должны быть предоставлены организатору общественной экспертизы в течение четырнадцати рабочих дней с момента получения соответствующего запроса.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5. Итоговый документ (заключение), подготовленный по результатам общественной экспертизы, в течение семи рабочих дней после ее окончания направляется на рассмотрение в органы или организации и обнародуется в соответствии с Федеральным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consultantplus://offline/ref=98346F8973E85618503F0A81D054F3EB67054BD0DF1A58B02601135996C33DC7ABB427FD7BCAA2AD98D6BAD85D09279564AA7210D3FE5581f44BG \o "Федеральный закон от 21.07.2014 N 212-ФЗ (ред. от 29.12.2017) \"Об основах общественного контроля в Российской Федерации\"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законом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>, в том числе размещается в информационно-телекоммуникационной сети "Интернет".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Статья 7. Порядок общественного обсуждения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1. Порядок проведения общественного обсуждения устанавливается его организатором с учетом положений федеральных законов, настоящего закона области, иных нормативных правовых актов области.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Организатор общественного обсуждения не позднее чем за десять дней до начала проведения общественного обсуждения обнародует информацию о вопросе, выносимом на общественное обсуждение, сроке, порядке его проведения и определения его результатов путем ее опубликования в средствах массовой информации, а также через информационно-телекоммуникационную сеть "Интернет".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3. Общественное обсуждение может проводиться с использованием специально отведенных мест в соответствии с требованиями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consultantplus://offline/ref=98346F8973E85618503F148CC638ADEF600612DDDC1F5BE57350150EC9933B92EBF421A8388EAEA490DDEE8D1F577EC621E17E13CCE254815D9BBB31f34BG \o "Закон Вологодской области от 29.04.2011 N 2499-ОЗ (ред. от 06.06.2016) \"О проведении публичного мероприятия на территории Вологодской области\" (принят Постановлением ЗС Вологодской области от 27.04.2011 N 196)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закона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области от 29 апреля 2011 года N 2499-ОЗ "О проведении публичного мероприятия на территории Вологодской области" либо в иных местах для проведения публичных мероприятий по согласованию с органами местного самоуправления.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4. Итоговый документ (протокол), подготовленный по результатам общественного обсуждения, в течение семи рабочих дней после его окончания направляется на рассмотрение в органы государственной власти, государственные организации области и обнародуется в соответствии с Федеральным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consultantplus://offline/ref=98346F8973E85618503F0A81D054F3EB67054BD0DF1A58B02601135996C33DC7ABB427FD7BCAA2AD98D6BAD85D09279564AA7210D3FE5581f44BG \o "Федеральный закон от 21.07.2014 N 212-ФЗ (ред. от 29.12.2017) \"Об основах общественного контроля в Российской Федерации\"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законом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>, в том числе размещается в информационно-телекоммуникационной сети "Интернет".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Статья 8. Результаты общественного контроля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1. Предложения, рекомендации и выводы, содержащиеся в итоговых документах, подготовленных по результатам общественного контроля и направленных органам государственной власти, государственным организациям области, подлежат обязательному учету указанными органами и организациями при осуществлении их деятельности в случаях, если указанные итоговые документы содержат: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1) указания на нарушение органом или организацией прав и свобод человека и гражданина, прав и законных интересов общественных организаций и иных некоммерческих организаций;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2) указания на факты коррупции в органе или организации.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Предложения, рекомендации и выводы не должны противоречить нормативным правовым актам Российской Федерации, нормативным правовым актам Вологодской области.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3. По результатам рассмотрения итоговых документов органы государственной власти и государственные организации области направляют соответствующим субъектам общественного контроля обоснованные ответы, в том числе о принятии к учету или отказе в учете предложений, рекомендаций и выводов по итогам общественного контроля, и публикуют эти ответы на официальных сайтах органов государственной власти, государственных организаций области в информационно-телекоммуникационной сети "Интернет".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ind w:firstLine="540"/>
        <w:jc w:val="both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Статья 9. Вступление в силу настоящего закона области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Настоящий закон области вступает в силу по истечении десяти дней после дня его официального опубликования.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Губернатор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О.А.КУВШИННИКОВ</w:t>
      </w:r>
    </w:p>
    <w:p>
      <w:pPr>
        <w:pStyle w:val="4"/>
        <w:spacing w:beforeLines="0" w:afterLines="0"/>
        <w:rPr>
          <w:rFonts w:hint="default"/>
          <w:sz w:val="20"/>
        </w:rPr>
      </w:pPr>
      <w:r>
        <w:rPr>
          <w:rFonts w:hint="default"/>
          <w:sz w:val="20"/>
        </w:rPr>
        <w:t>г. Вологда</w:t>
      </w:r>
    </w:p>
    <w:p>
      <w:pPr>
        <w:pStyle w:val="4"/>
        <w:spacing w:before="200" w:beforeLines="0" w:afterLines="0"/>
        <w:rPr>
          <w:rFonts w:hint="default"/>
          <w:sz w:val="20"/>
        </w:rPr>
      </w:pPr>
      <w:r>
        <w:rPr>
          <w:rFonts w:hint="default"/>
          <w:sz w:val="20"/>
        </w:rPr>
        <w:t>7 декабря 2015 года</w:t>
      </w:r>
    </w:p>
    <w:p>
      <w:pPr>
        <w:pStyle w:val="4"/>
        <w:spacing w:before="200" w:beforeLines="0" w:afterLines="0"/>
        <w:rPr>
          <w:rFonts w:hint="default"/>
          <w:sz w:val="20"/>
        </w:rPr>
      </w:pPr>
      <w:r>
        <w:rPr>
          <w:rFonts w:hint="default"/>
          <w:sz w:val="20"/>
        </w:rPr>
        <w:t>N 3806-ОЗ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sectPr>
      <w:headerReference r:id="rId3" w:type="default"/>
      <w:footerReference r:id="rId4" w:type="default"/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3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333399"/>
              <w:sz w:val="28"/>
            </w:rPr>
          </w:pPr>
          <w:r>
            <w:rPr>
              <w:rFonts w:hint="eastAsia" w:ascii="SimSun" w:hAnsi="SimSun"/>
              <w:b/>
              <w:color w:val="333399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3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青觐?骂腩泐漶觐?钺豚耱?铗 07.12.2015 N 3806-吻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"吾 铗溴朦睇?忸镳铖圊 铖簌羼蜮脲龛 钺耱忮眄钽?觐眚痤? ?骂腩泐漶...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21.11.2018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3E6B32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unhideWhenUsed/>
    <w:uiPriority w:val="99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</w:rPr>
  </w:style>
  <w:style w:type="paragraph" w:customStyle="1" w:styleId="5">
    <w:name w:val="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6">
    <w:name w:val="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20"/>
    </w:rPr>
  </w:style>
  <w:style w:type="paragraph" w:customStyle="1" w:styleId="7">
    <w:name w:val="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8">
    <w:name w:val="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9">
    <w:name w:val="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0"/>
    </w:rPr>
  </w:style>
  <w:style w:type="paragraph" w:customStyle="1" w:styleId="10">
    <w:name w:val="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6"/>
    </w:rPr>
  </w:style>
  <w:style w:type="paragraph" w:customStyle="1" w:styleId="11">
    <w:name w:val="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2018-11-28T07:18:05Z</dcterms:created>
  <dc:creator>Specialist</dc:creator>
  <cp:lastModifiedBy>Specialist</cp:lastModifiedBy>
  <dcterms:modified xsi:type="dcterms:W3CDTF">2018-11-28T07:18:27Z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