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335E0E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335E0E">
              <w:rPr>
                <w:kern w:val="2"/>
                <w:sz w:val="28"/>
                <w:szCs w:val="28"/>
              </w:rPr>
              <w:t>24.07.2023 по 30.07.2023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335E0E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</w:t>
            </w:r>
            <w:bookmarkStart w:id="0" w:name="_GoBack"/>
            <w:bookmarkEnd w:id="0"/>
            <w:r w:rsidRPr="00B91B39">
              <w:rPr>
                <w:kern w:val="2"/>
                <w:sz w:val="28"/>
                <w:szCs w:val="28"/>
              </w:rPr>
              <w:t xml:space="preserve">в </w:t>
            </w:r>
            <w:r w:rsidR="00335E0E">
              <w:rPr>
                <w:kern w:val="2"/>
                <w:sz w:val="28"/>
                <w:szCs w:val="28"/>
              </w:rPr>
              <w:t>0</w:t>
            </w:r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5E0E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2F7AB-6415-4C23-8E8C-88D80C0A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2023-07-24T10:47:00Z</dcterms:modified>
</cp:coreProperties>
</file>