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2C15E8" w:rsidRPr="002C15E8">
        <w:rPr>
          <w:sz w:val="26"/>
          <w:szCs w:val="26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2C15E8">
        <w:rPr>
          <w:color w:val="000000" w:themeColor="text1"/>
          <w:sz w:val="26"/>
          <w:szCs w:val="26"/>
        </w:rPr>
        <w:t>18.11.2019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2C15E8">
        <w:rPr>
          <w:color w:val="000000" w:themeColor="text1"/>
          <w:sz w:val="26"/>
          <w:szCs w:val="26"/>
        </w:rPr>
        <w:t>1142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2C15E8" w:rsidRPr="00D876E7">
        <w:rPr>
          <w:sz w:val="26"/>
          <w:szCs w:val="26"/>
        </w:rPr>
        <w:t xml:space="preserve">административный регламент </w:t>
      </w:r>
      <w:r w:rsidR="002C15E8" w:rsidRPr="002C15E8">
        <w:rPr>
          <w:sz w:val="26"/>
          <w:szCs w:val="26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  <w:r w:rsidR="002C15E8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2C15E8">
        <w:rPr>
          <w:color w:val="000000" w:themeColor="text1"/>
          <w:sz w:val="26"/>
          <w:szCs w:val="26"/>
        </w:rPr>
        <w:t>18.11.2019</w:t>
      </w:r>
      <w:r w:rsidR="002C15E8" w:rsidRPr="00D876E7">
        <w:rPr>
          <w:color w:val="000000" w:themeColor="text1"/>
          <w:sz w:val="26"/>
          <w:szCs w:val="26"/>
        </w:rPr>
        <w:t xml:space="preserve"> №</w:t>
      </w:r>
      <w:r w:rsidR="002C15E8">
        <w:rPr>
          <w:color w:val="000000" w:themeColor="text1"/>
          <w:sz w:val="26"/>
          <w:szCs w:val="26"/>
        </w:rPr>
        <w:t>1142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</w:t>
      </w:r>
      <w:r w:rsidR="002C15E8">
        <w:rPr>
          <w:color w:val="000000" w:themeColor="text1"/>
          <w:sz w:val="26"/>
          <w:szCs w:val="26"/>
        </w:rPr>
        <w:t xml:space="preserve"> абзац 4 </w:t>
      </w:r>
      <w:r w:rsidR="003C39EF">
        <w:rPr>
          <w:color w:val="000000" w:themeColor="text1"/>
          <w:sz w:val="26"/>
          <w:szCs w:val="26"/>
        </w:rPr>
        <w:t>пункт</w:t>
      </w:r>
      <w:r w:rsidR="00FF15DC">
        <w:rPr>
          <w:color w:val="000000" w:themeColor="text1"/>
          <w:sz w:val="26"/>
          <w:szCs w:val="26"/>
        </w:rPr>
        <w:t xml:space="preserve"> 2.</w:t>
      </w:r>
      <w:r w:rsidR="002C15E8">
        <w:rPr>
          <w:color w:val="000000" w:themeColor="text1"/>
          <w:sz w:val="26"/>
          <w:szCs w:val="26"/>
        </w:rPr>
        <w:t>8.4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554727" w:rsidRPr="00D876E7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</w:t>
      </w:r>
      <w:r w:rsidR="002C15E8">
        <w:rPr>
          <w:color w:val="000000" w:themeColor="text1"/>
          <w:sz w:val="26"/>
          <w:szCs w:val="26"/>
        </w:rPr>
        <w:t>.</w:t>
      </w:r>
      <w:r w:rsidR="00FF15DC">
        <w:rPr>
          <w:color w:val="000000" w:themeColor="text1"/>
          <w:sz w:val="26"/>
          <w:szCs w:val="26"/>
        </w:rPr>
        <w:t xml:space="preserve">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104B1D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104B1D">
        <w:rPr>
          <w:color w:val="000000" w:themeColor="text1"/>
          <w:sz w:val="26"/>
          <w:szCs w:val="26"/>
        </w:rPr>
        <w:t>Признать утратившими силу пункты 1.15-1.18 администрации Никольского муниципального района от 20.04.2020 №331 «</w:t>
      </w:r>
      <w:r w:rsidR="00104B1D" w:rsidRPr="00104B1D">
        <w:rPr>
          <w:color w:val="000000" w:themeColor="text1"/>
          <w:sz w:val="26"/>
          <w:szCs w:val="26"/>
        </w:rPr>
        <w:t>О внесении изменений в административный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</w:t>
      </w:r>
      <w:r w:rsidR="00104B1D">
        <w:rPr>
          <w:color w:val="000000" w:themeColor="text1"/>
          <w:sz w:val="26"/>
          <w:szCs w:val="26"/>
        </w:rPr>
        <w:t>».</w:t>
      </w:r>
    </w:p>
    <w:p w:rsidR="00554727" w:rsidRDefault="00104B1D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4B1D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5E8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2DAB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28C6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EADAA-C58F-428E-9353-7276605B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44</cp:revision>
  <cp:lastPrinted>2020-06-25T12:57:00Z</cp:lastPrinted>
  <dcterms:created xsi:type="dcterms:W3CDTF">2020-06-23T12:55:00Z</dcterms:created>
  <dcterms:modified xsi:type="dcterms:W3CDTF">2020-07-13T09:20:00Z</dcterms:modified>
</cp:coreProperties>
</file>