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7C23F5" w:rsidRPr="007C23F5">
        <w:rPr>
          <w:sz w:val="26"/>
          <w:szCs w:val="26"/>
        </w:rPr>
        <w:t>по предоставлению муниципальной услуги по согласованию решений о проведении</w:t>
      </w:r>
      <w:proofErr w:type="gramEnd"/>
      <w:r w:rsidR="007C23F5" w:rsidRPr="007C23F5">
        <w:rPr>
          <w:sz w:val="26"/>
          <w:szCs w:val="26"/>
        </w:rPr>
        <w:t xml:space="preserve"> ярмарки и схемы ярмарки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7C23F5">
        <w:rPr>
          <w:color w:val="000000" w:themeColor="text1"/>
          <w:sz w:val="26"/>
          <w:szCs w:val="26"/>
        </w:rPr>
        <w:t>984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7C23F5" w:rsidRPr="007C23F5">
        <w:rPr>
          <w:sz w:val="26"/>
          <w:szCs w:val="26"/>
        </w:rPr>
        <w:t>по предоставлению муниципальной услуги по согласованию решений о проведении ярмарки и схемы ярмарки</w:t>
      </w:r>
      <w:r w:rsidR="007C23F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7C23F5" w:rsidRPr="00D876E7">
        <w:rPr>
          <w:color w:val="000000" w:themeColor="text1"/>
          <w:sz w:val="26"/>
          <w:szCs w:val="26"/>
        </w:rPr>
        <w:t xml:space="preserve"> №</w:t>
      </w:r>
      <w:r w:rsidR="007C23F5">
        <w:rPr>
          <w:color w:val="000000" w:themeColor="text1"/>
          <w:sz w:val="26"/>
          <w:szCs w:val="26"/>
        </w:rPr>
        <w:t>984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7C23F5">
        <w:rPr>
          <w:color w:val="000000" w:themeColor="text1"/>
          <w:sz w:val="26"/>
          <w:szCs w:val="26"/>
        </w:rPr>
        <w:t>7.2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AD35E5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абзаце 1 пункта 3.3.5 слова и цифры «</w:t>
      </w:r>
      <w:r w:rsidRPr="00AD35E5">
        <w:rPr>
          <w:color w:val="000000" w:themeColor="text1"/>
          <w:sz w:val="26"/>
          <w:szCs w:val="26"/>
        </w:rPr>
        <w:t>от 01 сентября 2006 года № 594</w:t>
      </w:r>
      <w:r>
        <w:rPr>
          <w:color w:val="000000" w:themeColor="text1"/>
          <w:sz w:val="26"/>
          <w:szCs w:val="26"/>
        </w:rPr>
        <w:t>» заменить словами и цифрами «от 31 января 2020 года №369»;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lastRenderedPageBreak/>
        <w:t xml:space="preserve">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46585-534C-47BC-9D98-CEE80AD4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39</cp:revision>
  <cp:lastPrinted>2020-06-25T12:57:00Z</cp:lastPrinted>
  <dcterms:created xsi:type="dcterms:W3CDTF">2020-06-23T12:55:00Z</dcterms:created>
  <dcterms:modified xsi:type="dcterms:W3CDTF">2020-07-09T09:17:00Z</dcterms:modified>
</cp:coreProperties>
</file>