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16" w:lineRule="auto"/>
        <w:jc w:val="both"/>
        <w:rPr>
          <w:rFonts w:ascii="Times New Roman" w:hAnsi="Times New Roman"/>
          <w:spacing w:val="120"/>
          <w:sz w:val="24"/>
          <w:szCs w:val="24"/>
        </w:rPr>
      </w:pPr>
      <w:r>
        <w:rPr>
          <w:rFonts w:ascii="Times New Roman" w:hAnsi="Times New Roman"/>
          <w:spacing w:val="120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  <w:t xml:space="preserve">  ПРЕДСТАВИТЕЛЬНОЕ СОБРАНИЕ НИКОЛЬСКОГО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  <w:t xml:space="preserve"> МУНИЦИПАЛЬНОГО РАЙОНА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  <w:t>ВОЛОГОДСКОЙ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  <w:t>РЕШЕНИЕ</w:t>
      </w:r>
    </w:p>
    <w:p>
      <w:pPr>
        <w:spacing w:after="0" w:line="240" w:lineRule="auto"/>
        <w:rPr>
          <w:rFonts w:ascii="Times New Roman" w:hAnsi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/>
          <w:b/>
          <w:bCs/>
          <w:spacing w:val="119"/>
          <w:sz w:val="24"/>
          <w:szCs w:val="24"/>
        </w:rPr>
      </w:r>
    </w:p>
    <w:tbl>
      <w:tblPr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ind w:right="-24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 28.04.2017 года                  </w:t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 32                               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Никольск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1125855</wp:posOffset>
                </wp:positionV>
                <wp:extent cx="114300" cy="138430"/>
                <wp:effectExtent l="0" t="0" r="0" b="0"/>
                <wp:wrapTopAndBottom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6BcAAAAAAAACAAAA7QYAALQAAADaAAAAAAAAAI0eAAD5FQAA"/>
                          </a:ext>
                        </a:extLst>
                      </wps:cNvSpPr>
                      <wps:spPr>
                        <a:xfrm flipV="1"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06.00pt;margin-top:88.65pt;width:9.00pt;height:10.90pt;rotation:360.0;mso-wrap-distance-left:9.00pt;mso-wrap-distance-top:0.00pt;mso-wrap-distance-right:9.00pt;mso-wrap-distance-bottom:0.00pt;flip:y;mso-wrap-style:square" stroked="f" fillcolor="#ffffff" v:ext="SMDATA_11_pe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6BcAAAAAAAACAAAA7QYAALQAAADaAAAAAAAAAI0eAAD5FQ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2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AAAAAAcAgAAAAAAAKUGAADfEA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7" style="position:absolute;width:0.00pt;height:27.00pt;mso-wrap-distance-left:9.00pt;mso-wrap-distance-top:0.00pt;mso-wrap-distance-right:9.00pt;mso-wrap-distance-bottom:0.00pt;mso-wrap-style:square" from="0.00pt,23.35pt" to="0.00pt,50.35pt" strokeweight="0.75pt" filled="f" v:ext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AAAAAAcAgAAAAAAAKUGAADfEA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BwCAAAAAAAAAAAAAKUGAADfEA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8" style="position:absolute;width:27.00pt;height:0.00pt;mso-wrap-distance-left:9.00pt;mso-wrap-distance-top:0.00pt;mso-wrap-distance-right:9.00pt;mso-wrap-distance-bottom:0.00pt;mso-wrap-style:square" from="0.00pt,23.35pt" to="27.00pt,23.35pt" strokeweight="0.75pt" filled="f" v:ext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BwCAAAAAAAAAAAAAKUGAADfEA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LBAAAAAAAAACAAAA0wEAABwCAAAAAAAAAAAAANEWAADfEA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9" style="position:absolute;width:27.00pt;height:0.00pt;mso-wrap-distance-left:9.00pt;mso-wrap-distance-top:0.00pt;mso-wrap-distance-right:9.00pt;mso-wrap-distance-bottom:0.00pt;mso-wrap-style:square" from="207.00pt,23.35pt" to="234.00pt,23.35pt" strokeweight="0.75pt" filled="f" v:ext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LBAAAAAAAAACAAAA0wEAABwCAAAAAAAAAAAAANEWAADfEA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SBIAAAAAAAACAAAA0wEAAAAAAAAcAgAAAAAAAO0YAADfEA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30" style="position:absolute;width:0.00pt;height:27.00pt;mso-wrap-distance-left:9.00pt;mso-wrap-distance-top:0.00pt;mso-wrap-distance-right:9.00pt;mso-wrap-distance-bottom:0.00pt;mso-wrap-style:square" from="234.00pt,23.35pt" to="234.00pt,50.35pt" strokeweight="0.75pt" filled="f" v:ext="SMDATA_11_pe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SBIAAAAAAAACAAAA0wEAAAAAAAAcAgAAAAAAAO0YAADfEA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348615</wp:posOffset>
                </wp:positionV>
                <wp:extent cx="4800600" cy="1743075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e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rgAAAAAAAAACAAAAJQIAAIgdAAC5CgAAAAAAAFMHAAAxEQAA"/>
                          </a:ext>
                        </a:extLst>
                      </wps:cNvSpPr>
                      <wps:spPr>
                        <a:xfrm>
                          <a:off x="0" y="0"/>
                          <a:ext cx="4800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423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Порядка сообщения лицами, замещающими муниципальные должности в Представительном Собрании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Никольского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осуществляющими свои полномочия на постоянной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средств, вырученных от его реализации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margin-left:8.70pt;margin-top:27.45pt;width:378.00pt;height:137.25pt;mso-wrap-distance-left:9.00pt;mso-wrap-distance-top:0.00pt;mso-wrap-distance-right:9.00pt;mso-wrap-distance-bottom:0.00pt;mso-wrap-style:square" stroked="f" fillcolor="#ffffff" v:ext="SMDATA_11_pe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rgAAAAAAAAACAAAAJQIAAIgdAAC5CgAAAAAAAFMHAAAxEQ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pPr>
                        <w:ind w:right="423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Порядка сообщения лицами, замещающими муниципальные должности в Представительном Собрании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Никольского муниципального района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осуществляющими свои полномочия на постоянной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основе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средств, вырученных от его реализации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ConsPlusNormal"/>
        <w: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 </w:t>
      </w:r>
      <w:hyperlink r:id="rId7" w:history="1">
        <w:r>
          <w:rPr>
            <w:rFonts w:ascii="Times New Roman" w:hAnsi="Times New Roman"/>
            <w:bCs/>
            <w:sz w:val="24"/>
            <w:szCs w:val="24"/>
          </w:rPr>
          <w:t>пунктом 7 части 3 статьи 12.1</w:t>
        </w:r>
      </w:hyperlink>
      <w:r>
        <w:rPr>
          <w:rFonts w:ascii="Times New Roman" w:hAnsi="Times New Roman"/>
          <w:bCs/>
          <w:sz w:val="24"/>
          <w:szCs w:val="24"/>
        </w:rPr>
        <w:t xml:space="preserve"> Федерального закона от 25 декабря </w:t>
      </w:r>
      <w:r>
        <w:rPr>
          <w:rFonts w:ascii="Times New Roman" w:hAnsi="Times New Roman"/>
          <w:bCs/>
          <w:sz w:val="24"/>
          <w:szCs w:val="24"/>
        </w:rPr>
        <w:t xml:space="preserve">2008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 273-ФЗ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/>
          <w:bCs/>
          <w:sz w:val="24"/>
          <w:szCs w:val="24"/>
        </w:rPr>
        <w:t xml:space="preserve">9 января </w:t>
      </w:r>
      <w:r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 10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Представительное Собрание Никольского муниципального района,</w:t>
      </w:r>
      <w:r>
        <w:rPr>
          <w:rFonts w:ascii="Times New Roman" w:hAnsi="Times New Roman"/>
          <w:bCs/>
          <w:sz w:val="24"/>
          <w:szCs w:val="24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РЕШИЛО:</w:t>
      </w:r>
    </w:p>
    <w:p>
      <w:pPr>
        <w:ind w:right="-2" w:firstLine="56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Утвердить прилагаемый Порядок </w:t>
      </w:r>
      <w:r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 замещ</w:t>
      </w:r>
      <w:r>
        <w:rPr>
          <w:rFonts w:ascii="Times New Roman" w:hAnsi="Times New Roman"/>
          <w:sz w:val="24"/>
          <w:szCs w:val="24"/>
        </w:rPr>
        <w:t>ающими муниципальные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Представительном Собрании Никольского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и осуществляющими свои полномочия на постоянной </w:t>
      </w:r>
      <w:r>
        <w:rPr>
          <w:rFonts w:ascii="Times New Roman" w:hAnsi="Times New Roman"/>
          <w:sz w:val="24"/>
          <w:szCs w:val="24"/>
        </w:rPr>
        <w:t>основе о</w:t>
      </w:r>
      <w:r>
        <w:rPr>
          <w:rFonts w:ascii="Times New Roman" w:hAnsi="Times New Roman"/>
          <w:sz w:val="24"/>
          <w:szCs w:val="24"/>
        </w:rPr>
        <w:t xml:space="preserve"> получении подарка в связи </w:t>
      </w:r>
      <w:r>
        <w:rPr>
          <w:rFonts w:ascii="Times New Roman" w:hAnsi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>
        <w:rPr>
          <w:rFonts w:ascii="Times New Roman" w:hAnsi="Times New Roman"/>
          <w:sz w:val="24"/>
          <w:szCs w:val="24"/>
        </w:rPr>
        <w:t>средств, вырученных от его реализации.</w:t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</w:t>
      </w:r>
      <w:r>
        <w:rPr>
          <w:rFonts w:ascii="Times New Roman" w:hAnsi="Times New Roman"/>
          <w:sz w:val="24"/>
          <w:szCs w:val="24"/>
        </w:rPr>
        <w:t xml:space="preserve"> в районной газете «Авангард» и подлежит размещению на официальном сайте администрации Никольского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Никольского муниципального района                                  В. В. Панов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>
      <w:pPr>
        <w:ind w:firstLine="5387"/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Представительного Собрания Никольского муниципального района  </w:t>
      </w:r>
    </w:p>
    <w:p>
      <w:pPr>
        <w:spacing w:after="0" w:line="240" w:lineRule="auto"/>
        <w:jc w:val="right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«28» апреля 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right="-2"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ind w:right="4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  <w:br w:type="textWrapping"/>
        <w:t xml:space="preserve"> сообщения</w:t>
      </w:r>
      <w:r>
        <w:rPr>
          <w:rFonts w:ascii="Times New Roman" w:hAnsi="Times New Roman"/>
          <w:b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Представительном Собрании Никольского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осуществляющими свои полномочия на постоянной основе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4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средств, вырученных от его реализации</w:t>
      </w:r>
    </w:p>
    <w:p>
      <w:pPr>
        <w:ind w:right="4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>
      <w:pPr>
        <w:ind w:right="-2" w:firstLine="56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лиц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</w:t>
      </w:r>
      <w:r>
        <w:rPr>
          <w:rFonts w:ascii="Times New Roman" w:hAnsi="Times New Roman" w:cs="Times New Roman"/>
          <w:sz w:val="28"/>
          <w:szCs w:val="28"/>
        </w:rPr>
        <w:t>х исполнения им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лицом, замещающим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лично или через посредника от физических (юридических) лиц подарка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вправе получать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предусмотренные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подарки от </w:t>
      </w:r>
      <w:r>
        <w:rPr>
          <w:rFonts w:ascii="Times New Roman" w:hAnsi="Times New Roman" w:cs="Times New Roman"/>
          <w:sz w:val="28"/>
          <w:szCs w:val="28"/>
        </w:rPr>
        <w:t>физических (юридических) лиц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или исполнением ими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стных обязанностей.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 уведомлять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</w:t>
      </w:r>
      <w:r>
        <w:rPr>
          <w:rFonts w:ascii="Times New Roman" w:hAnsi="Times New Roman" w:cs="Times New Roman"/>
          <w:sz w:val="28"/>
          <w:szCs w:val="28"/>
        </w:rPr>
        <w:t>но с исполнением ими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ar9"/>
      <w:bookmarkEnd w:id="0"/>
      <w:r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помощнику главы района.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" w:name="Par11"/>
      <w:bookmarkEnd w:id="1"/>
      <w:r/>
      <w:r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первом, третьем настоящем</w:t>
      </w:r>
      <w:r>
        <w:rPr>
          <w:rFonts w:ascii="Times New Roman" w:hAnsi="Times New Roman" w:cs="Times New Roman"/>
          <w:sz w:val="28"/>
          <w:szCs w:val="28"/>
        </w:rPr>
        <w:t xml:space="preserve"> пункта, по причине, не зависящей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оно представляется не позднее следующего дня после ее устранения.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уведомления осуществляется в журнале в день его поступления.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второй </w:t>
      </w:r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>
        <w:rPr>
          <w:rFonts w:ascii="Times New Roman" w:hAnsi="Times New Roman" w:cs="Times New Roman"/>
          <w:sz w:val="28"/>
          <w:szCs w:val="28"/>
        </w:rPr>
        <w:t xml:space="preserve"> остается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помощника главы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в уведомлении может содержаться указание на отказ от выкупа подарка.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Подарок, полученный лицом, замещающим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не зависимо от его стоимости подлежит передаче 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>
        <w:rPr>
          <w:rFonts w:ascii="Times New Roman" w:hAnsi="Times New Roman" w:cs="Times New Roman"/>
          <w:sz w:val="28"/>
          <w:szCs w:val="28"/>
        </w:rPr>
        <w:t>ответственному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/>
      <w:bookmarkStart w:id="2" w:name="_GoBack"/>
      <w:bookmarkEnd w:id="2"/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принимает его на </w:t>
      </w:r>
      <w:r>
        <w:rPr>
          <w:rFonts w:ascii="Times New Roman" w:hAnsi="Times New Roman" w:cs="Times New Roman"/>
          <w:sz w:val="28"/>
          <w:szCs w:val="28"/>
        </w:rPr>
        <w:t>хранение  по</w:t>
      </w:r>
      <w:r>
        <w:rPr>
          <w:rFonts w:ascii="Times New Roman" w:hAnsi="Times New Roman" w:cs="Times New Roman"/>
          <w:sz w:val="28"/>
          <w:szCs w:val="28"/>
        </w:rPr>
        <w:t xml:space="preserve"> акту приема – передачи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>
        <w:rPr>
          <w:rFonts w:ascii="Times New Roman" w:hAnsi="Times New Roman" w:cs="Times New Roman"/>
          <w:sz w:val="28"/>
          <w:szCs w:val="28"/>
        </w:rPr>
        <w:t>не позднее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уведомления в соответствующем журнале регистрации.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r>
        <w:rPr>
          <w:rFonts w:ascii="Times New Roman" w:hAnsi="Times New Roman"/>
          <w:sz w:val="28"/>
          <w:szCs w:val="28"/>
        </w:rPr>
        <w:t>Представительного Собрания Никольского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– экспертным путем. 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Подарок возвращается сдавшему его лицу по акту приема-передачи в случае, если его стоимость не превышает трех тысяч рублей. Возврат подарка оформляется актом приема-передачи подарка, составленным и подписанным в соответствии с </w:t>
      </w:r>
      <w:hyperlink w:anchor="Par71" w:history="1">
        <w:r>
          <w:rPr>
            <w:rStyle w:val=""/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Представительное Собрание уведомляет Комитет по управлению имуществом администрации района об определении стоимости подарка, превышающей три тысячи рублей. К </w:t>
      </w:r>
      <w:hyperlink w:anchor="Par112" w:history="1">
        <w:r>
          <w:rPr>
            <w:rStyle w:val=""/>
            <w:rFonts w:ascii="Times New Roman" w:hAnsi="Times New Roman"/>
            <w:sz w:val="28"/>
            <w:szCs w:val="28"/>
          </w:rPr>
          <w:t>уведомлению</w:t>
        </w:r>
      </w:hyperlink>
      <w:r>
        <w:rPr>
          <w:rFonts w:ascii="Times New Roman" w:hAnsi="Times New Roman"/>
          <w:sz w:val="28"/>
          <w:szCs w:val="28"/>
        </w:rPr>
        <w:t xml:space="preserve"> прилагаются документы, подтверждающие стоимость подарка, а также акт приема-передачи подарка, составленный в соответствии с </w:t>
      </w:r>
      <w:hyperlink w:anchor="Par71" w:history="1">
        <w:r>
          <w:rPr>
            <w:rStyle w:val=""/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Включение сведени</w:t>
      </w:r>
      <w:r>
        <w:rPr>
          <w:rFonts w:ascii="Times New Roman" w:hAnsi="Times New Roman" w:cs="Times New Roman"/>
          <w:sz w:val="28"/>
          <w:szCs w:val="28"/>
        </w:rPr>
        <w:t>й о подарке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постановка на бюджетн</w:t>
      </w:r>
      <w:r>
        <w:rPr>
          <w:rFonts w:ascii="Times New Roman" w:hAnsi="Times New Roman" w:cs="Times New Roman"/>
          <w:sz w:val="28"/>
          <w:szCs w:val="28"/>
        </w:rPr>
        <w:t xml:space="preserve">ый учет </w:t>
      </w:r>
      <w:r>
        <w:rPr>
          <w:rFonts w:ascii="Times New Roman" w:hAnsi="Times New Roman" w:cs="Times New Roman"/>
          <w:sz w:val="28"/>
          <w:szCs w:val="28"/>
        </w:rPr>
        <w:t>имущества осуществляю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администрации Ни</w:t>
      </w:r>
      <w:r>
        <w:rPr>
          <w:rFonts w:ascii="Times New Roman" w:hAnsi="Times New Roman" w:cs="Times New Roman"/>
          <w:sz w:val="28"/>
          <w:szCs w:val="28"/>
        </w:rPr>
        <w:t xml:space="preserve">кольского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устав</w:t>
      </w:r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ном порядке.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/>
          <w:sz w:val="28"/>
          <w:szCs w:val="28"/>
        </w:rPr>
      </w:pPr>
      <w:r/>
      <w:bookmarkStart w:id="3" w:name="Par22"/>
      <w:bookmarkEnd w:id="3"/>
      <w:r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замещающе</w:t>
      </w:r>
      <w:r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сдав подарок,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его выкупить, направив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выкупе подарка  в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 Никольского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3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двух месяцев со дня сдачи подарка.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может быть подано одновременно с уведомлением о получении подарка.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 Заявление о выкупе подарка подается в двух экземплярах. Первый экземпляр заявления после регистрации возвращается лицу, подавшему заявление. Второй экземпляр заявления в целях определения стоимости подарка и его реализации (выкупа) направляется в Комитет по управлению имуществом администрации района.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/>
          <w:sz w:val="28"/>
          <w:szCs w:val="28"/>
        </w:rPr>
      </w:pPr>
      <w:r/>
      <w:bookmarkStart w:id="4" w:name="Par23"/>
      <w:bookmarkEnd w:id="4"/>
      <w:r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</w:t>
      </w:r>
      <w:r>
        <w:rPr>
          <w:rFonts w:ascii="Times New Roman" w:hAnsi="Times New Roman"/>
          <w:sz w:val="28"/>
          <w:szCs w:val="28"/>
        </w:rPr>
        <w:t>в п.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</w:rPr>
        <w:tab/>
        <w:t>16. В случае,</w:t>
      </w:r>
      <w:r>
        <w:rPr>
          <w:rFonts w:ascii="Times New Roman" w:hAnsi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заявление, указанное в </w:t>
      </w:r>
      <w:hyperlink w:anchor="Par22" w:history="1">
        <w:r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либо в случае отказа указанн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выкупа такого подарка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подарок, изготовленный из </w:t>
      </w:r>
      <w:r>
        <w:rPr>
          <w:rFonts w:ascii="Times New Roman" w:hAnsi="Times New Roman"/>
          <w:sz w:val="28"/>
          <w:szCs w:val="28"/>
        </w:rPr>
        <w:t xml:space="preserve">драгоценных металлов и (или) драгоценных камней, подлежит передаче </w:t>
      </w:r>
      <w:r>
        <w:rPr>
          <w:rFonts w:ascii="Times New Roman" w:hAnsi="Times New Roman"/>
          <w:sz w:val="28"/>
          <w:szCs w:val="28"/>
        </w:rPr>
        <w:t xml:space="preserve">в Федеральное Казенное Учреждение «Государственное учреждение по формированию Государственного фонда драгоценных металлов </w:t>
      </w:r>
      <w:r>
        <w:rPr>
          <w:rFonts w:ascii="Times New Roman" w:hAnsi="Times New Roman"/>
          <w:sz w:val="28"/>
          <w:szCs w:val="28"/>
          <w:shd w:val="clear" w:fill="ffffff"/>
        </w:rPr>
        <w:t>и драгоценных камней РФ»</w:t>
      </w:r>
      <w:r>
        <w:rPr>
          <w:rFonts w:ascii="Times New Roman" w:hAnsi="Times New Roman"/>
          <w:sz w:val="28"/>
          <w:szCs w:val="28"/>
          <w:shd w:val="clear" w:fill="ffffff"/>
        </w:rPr>
        <w:t>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>17. Подарок, в отношении которого получен отказ от выкупа или не поступило заявление о выкупе, может быть использован для обеспечения деятельности Представительного Собрания района. Решение о целесообразности использования под</w:t>
      </w:r>
      <w:r>
        <w:rPr>
          <w:rFonts w:ascii="Times New Roman" w:hAnsi="Times New Roman"/>
          <w:sz w:val="28"/>
          <w:szCs w:val="28"/>
          <w:shd w:val="clear" w:fill="ffffff"/>
        </w:rPr>
        <w:t>арка принимается Главой района.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 xml:space="preserve">18. В случае принятия решения о целесообразности использования подарок закрепляется за Представительным Собранием на праве оперативного управления на основании распоряжения </w:t>
      </w:r>
      <w:r>
        <w:rPr>
          <w:rFonts w:ascii="Times New Roman" w:hAnsi="Times New Roman"/>
          <w:sz w:val="28"/>
          <w:szCs w:val="28"/>
          <w:shd w:val="clear" w:fill="ffffff"/>
        </w:rPr>
        <w:t>администрации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, изданного на основании обращения </w:t>
      </w:r>
      <w:r>
        <w:rPr>
          <w:rFonts w:ascii="Times New Roman" w:hAnsi="Times New Roman"/>
          <w:sz w:val="28"/>
          <w:szCs w:val="28"/>
          <w:shd w:val="clear" w:fill="ffffff"/>
        </w:rPr>
        <w:t>Представительного Собрания.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 xml:space="preserve">В случае закрепления подарка на праве оперативного управления за Представительным Собранием внесение изменений в Реестр собственности района, исключение сведений о подарке из состава имущества казны </w:t>
      </w:r>
      <w:r>
        <w:rPr>
          <w:rFonts w:ascii="Times New Roman" w:hAnsi="Times New Roman"/>
          <w:sz w:val="28"/>
          <w:szCs w:val="28"/>
          <w:shd w:val="clear" w:fill="ffffff"/>
        </w:rPr>
        <w:t>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и списание его стоимости с бюджетного учета осуществляются </w:t>
      </w:r>
      <w:r>
        <w:rPr>
          <w:rFonts w:ascii="Times New Roman" w:hAnsi="Times New Roman"/>
          <w:sz w:val="28"/>
          <w:szCs w:val="28"/>
          <w:shd w:val="clear" w:fill="ffffff"/>
        </w:rPr>
        <w:t>Комитетом по управлению имуществом администрации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в установленном порядке.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>19. В случае нецелесообразности использования подарка Представительное Собрание направляе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т предложение о реализации подарка в </w:t>
      </w:r>
      <w:r>
        <w:rPr>
          <w:rFonts w:ascii="Times New Roman" w:hAnsi="Times New Roman"/>
          <w:sz w:val="28"/>
          <w:szCs w:val="28"/>
          <w:shd w:val="clear" w:fill="ffffff"/>
        </w:rPr>
        <w:t>комитет по управлению имуществом администрации района</w:t>
      </w:r>
      <w:r>
        <w:rPr>
          <w:rFonts w:ascii="Times New Roman" w:hAnsi="Times New Roman"/>
          <w:sz w:val="28"/>
          <w:szCs w:val="28"/>
          <w:shd w:val="clear" w:fill="ffffff"/>
        </w:rPr>
        <w:t>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>20. Средства, вырученные от реализации (выкупа) подарка, зачисляются в доход районного бюджета в порядке, установленном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  <w:shd w:val="clear" w:fill="ffffff"/>
        </w:rPr>
        <w:t xml:space="preserve">21. В случае если подарок не выкуплен или не реализован, Комитет по управлению имуществом администрации района на основании предложения </w:t>
      </w:r>
      <w:r>
        <w:rPr>
          <w:rFonts w:ascii="Times New Roman" w:hAnsi="Times New Roman"/>
          <w:sz w:val="28"/>
          <w:szCs w:val="28"/>
          <w:shd w:val="clear" w:fill="ffffff"/>
        </w:rPr>
        <w:t>Представительного Собрания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принимает решение о повторной реализации (выкупе) подарка, либо его безвозмездной передаче на баланс благотворительной организации, либо уничтожении его 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Представительным </w:t>
      </w:r>
      <w:r>
        <w:rPr>
          <w:rFonts w:ascii="Times New Roman" w:hAnsi="Times New Roman"/>
          <w:sz w:val="28"/>
          <w:szCs w:val="28"/>
          <w:shd w:val="clear" w:fill="ffffff"/>
        </w:rPr>
        <w:t>Собранием 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/>
        </w:rPr>
        <w:t>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/>
        </w:rPr>
        <w:t xml:space="preserve">22. В случае реализации (выкупа) подарка, либо безвозмездной передачи его на баланс благотворительной организации, либо уничтожения подарка исключение сведений о подарке из Реестра собственности района и списание его стоимости с бюджетного учета имущества казны </w:t>
      </w:r>
      <w:r>
        <w:rPr>
          <w:rFonts w:ascii="Times New Roman" w:hAnsi="Times New Roman"/>
          <w:sz w:val="28"/>
          <w:szCs w:val="28"/>
          <w:shd w:val="clear" w:fill="ffffff"/>
        </w:rPr>
        <w:t>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осуществляются </w:t>
      </w:r>
      <w:r>
        <w:rPr>
          <w:rFonts w:ascii="Times New Roman" w:hAnsi="Times New Roman"/>
          <w:sz w:val="28"/>
          <w:szCs w:val="28"/>
          <w:shd w:val="clear" w:fill="ffffff"/>
        </w:rPr>
        <w:t>Комитетом по управлению имуществом администрации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в установленном порядке. После исключения сведений о подарке из Реестра собственности </w:t>
      </w:r>
      <w:r>
        <w:rPr>
          <w:rFonts w:ascii="Times New Roman" w:hAnsi="Times New Roman"/>
          <w:sz w:val="28"/>
          <w:szCs w:val="28"/>
          <w:shd w:val="clear" w:fill="ffffff"/>
        </w:rPr>
        <w:t>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и списания его стоимости с бюджетного учета имущества казны </w:t>
      </w:r>
      <w:r>
        <w:rPr>
          <w:rFonts w:ascii="Times New Roman" w:hAnsi="Times New Roman"/>
          <w:sz w:val="28"/>
          <w:szCs w:val="28"/>
          <w:shd w:val="clear" w:fill="ffffff"/>
        </w:rPr>
        <w:t>Комитет по управлению имуществом администрации района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в течение 30 дней уведомляет об этом </w:t>
      </w:r>
      <w:r>
        <w:rPr>
          <w:rFonts w:ascii="Times New Roman" w:hAnsi="Times New Roman"/>
          <w:sz w:val="28"/>
          <w:szCs w:val="28"/>
          <w:shd w:val="clear" w:fill="ffffff"/>
        </w:rPr>
        <w:t>Представительное Собрание района</w:t>
      </w:r>
      <w:r>
        <w:rPr>
          <w:rFonts w:ascii="Times New Roman" w:hAnsi="Times New Roman"/>
          <w:sz w:val="28"/>
          <w:szCs w:val="28"/>
          <w:shd w:val="clear" w:fill="ffffff"/>
        </w:rPr>
        <w:t>.</w:t>
      </w:r>
      <w:r/>
      <w:bookmarkStart w:id="5" w:name="Par28"/>
      <w:bookmarkEnd w:id="5"/>
      <w:r/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Порядку</w:t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Форма</w:t>
      </w:r>
    </w:p>
    <w:p>
      <w:pPr>
        <w:ind w:left="567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p>
      <w:pPr>
        <w:ind w:left="5670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(наименование  ОМСУ)</w:t>
      </w:r>
    </w:p>
    <w:p>
      <w:pPr>
        <w:ind w:left="567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</w:t>
      </w:r>
    </w:p>
    <w:p>
      <w:pPr>
        <w:ind w:left="567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должность)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Извещаю о получении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подарка(ов)  на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командировки, другого официального мероприятия, место и дата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проведения)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81" w:type="dxa"/>
      </w:tblPr>
      <w:tblGrid>
        <w:gridCol w:w="567"/>
        <w:gridCol w:w="2977"/>
        <w:gridCol w:w="3260"/>
        <w:gridCol w:w="1560"/>
        <w:gridCol w:w="1417"/>
      </w:tblGrid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65" w:history="1">
              <w:r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>
        <w:rPr>
          <w:rFonts w:ascii="Times New Roman" w:hAnsi="Times New Roman"/>
          <w:sz w:val="24"/>
          <w:szCs w:val="24"/>
        </w:rPr>
        <w:t>на _____ листах.</w:t>
      </w: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уведомление</w:t>
      </w:r>
      <w:r>
        <w:rPr>
          <w:rFonts w:ascii="Times New Roman" w:hAnsi="Times New Roman"/>
          <w:sz w:val="20"/>
          <w:szCs w:val="20"/>
        </w:rPr>
        <w:t xml:space="preserve"> _________ 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(подпись) (расшифровка подписи)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принявшее уведомление</w:t>
      </w:r>
      <w:r>
        <w:rPr>
          <w:rFonts w:ascii="Times New Roman" w:hAnsi="Times New Roman"/>
          <w:sz w:val="20"/>
          <w:szCs w:val="20"/>
        </w:rPr>
        <w:t xml:space="preserve"> ________ _____________________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(подпись) (расшифровка подписи)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______________ 20__ г.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/>
      <w:bookmarkStart w:id="6" w:name="Par65"/>
      <w:bookmarkEnd w:id="6"/>
      <w:r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  к Порядку</w:t>
      </w:r>
      <w:r>
        <w:rPr>
          <w:rFonts w:ascii="Times New Roman" w:hAnsi="Times New Roman"/>
          <w:sz w:val="28"/>
          <w:szCs w:val="28"/>
        </w:rPr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Форма</w:t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сдачи-приема подарка №  ______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                   «____» ________________ 20__ г.</w:t>
      </w: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составления)                                                                                             (дата составления)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лица, получившего подарок)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Сдает/принимает, а 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уполномоченн</w:t>
      </w:r>
      <w:r>
        <w:rPr>
          <w:rFonts w:ascii="Times New Roman" w:hAnsi="Times New Roman"/>
          <w:i/>
          <w:sz w:val="24"/>
          <w:szCs w:val="24"/>
        </w:rPr>
        <w:t>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ОМСУ, учреждение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куда  передан</w:t>
      </w:r>
      <w:r>
        <w:rPr>
          <w:rFonts w:ascii="Times New Roman" w:hAnsi="Times New Roman"/>
          <w:i/>
          <w:sz w:val="24"/>
          <w:szCs w:val="24"/>
        </w:rPr>
        <w:t xml:space="preserve">  подарок)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 принимает/сдает: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9" w:type="dxa"/>
      </w:tblPr>
      <w:tblGrid>
        <w:gridCol w:w="2835"/>
        <w:gridCol w:w="3119"/>
        <w:gridCol w:w="1843"/>
        <w:gridCol w:w="1842"/>
      </w:tblGrid>
      <w:tr>
        <w:trPr>
          <w:trHeight w:val="0" w:hRule="auto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34" w:history="1">
              <w:r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>
        <w:trPr>
          <w:trHeight w:val="0" w:hRule="auto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Сдал/принял: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>/сдал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       _________ 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(подпись)  (фамилия, инициалы)                            (подпись)  (фамилия, инициалы)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/>
      <w:bookmarkStart w:id="7" w:name="Par134"/>
      <w:bookmarkEnd w:id="7"/>
      <w:r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Порядку</w:t>
      </w:r>
    </w:p>
    <w:p>
      <w:pPr>
        <w:ind w:left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Форма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>
      <w:pPr>
        <w:ind w:left="5670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(наименование  ОМСУ)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занимаемая должность)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намерении выкупить  подарок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своем намерении   выкупить  подарок, полученный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получения подарка, наименование протокольного мероприятия, служебной командировкой,   другого   официального</w:t>
      </w:r>
      <w:r>
        <w:rPr>
          <w:rFonts w:ascii="Times New Roman" w:hAnsi="Times New Roman"/>
          <w:sz w:val="24"/>
          <w:szCs w:val="24"/>
        </w:rPr>
        <w:t xml:space="preserve">   мероприяти</w:t>
      </w:r>
      <w:r>
        <w:rPr>
          <w:rFonts w:ascii="Times New Roman" w:hAnsi="Times New Roman"/>
          <w:sz w:val="24"/>
          <w:szCs w:val="24"/>
        </w:rPr>
        <w:t>я, место и дата его проведения)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</w:tblPr>
      <w:tblGrid>
        <w:gridCol w:w="567"/>
        <w:gridCol w:w="2127"/>
        <w:gridCol w:w="3260"/>
        <w:gridCol w:w="1560"/>
        <w:gridCol w:w="2125"/>
      </w:tblGrid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65" w:history="1">
              <w:r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заявление</w:t>
      </w:r>
      <w:r>
        <w:rPr>
          <w:rFonts w:ascii="Times New Roman" w:hAnsi="Times New Roman"/>
          <w:sz w:val="20"/>
          <w:szCs w:val="20"/>
        </w:rPr>
        <w:t xml:space="preserve"> _________ 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(подпись) (расшифровка подписи)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Лицо, принявшее заявление        </w:t>
      </w:r>
      <w:r>
        <w:rPr>
          <w:rFonts w:ascii="Times New Roman" w:hAnsi="Times New Roman"/>
          <w:sz w:val="20"/>
          <w:szCs w:val="20"/>
        </w:rPr>
        <w:t>________ 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(подпись) (расшифровка подписи)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______________ 20__ г.</w:t>
      </w:r>
    </w:p>
    <w:p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заявлений  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5"/>
      <w:pgMar w:left="1701" w:top="568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ucida Sans Unicode">
    <w:panose1 w:val="020B0602030504020204"/>
    <w:charset w:val="cc"/>
    <w:family w:val="swiss"/>
    <w:pitch w:val="default"/>
  </w:font>
  <w:font w:name="Mangal">
    <w:panose1 w:val="02040503050203030202"/>
    <w:charset w:val="01"/>
    <w:family w:val="roman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32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9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3888933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</w:pPr>
    <w:rPr>
      <w:rFonts w:cs="Calibri"/>
    </w:rPr>
  </w:style>
  <w:style w:type="paragraph" w:styleId="ConsPlusNonformat" w:customStyle="1">
    <w:name w:val="ConsPlusNonformat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Arial" w:hAnsi="Arial" w:eastAsia="Lucida Sans Unicode" w:cs="Mangal"/>
      <w:kern w:val="1"/>
      <w:sz w:val="21"/>
      <w:szCs w:val="24"/>
      <w:lang w:eastAsia="zh-cn" w:bidi="hi-in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sz w:val="20"/>
      <w:szCs w:val="20"/>
    </w:rPr>
  </w:style>
  <w:style w:type="character" w:styleId="StrongEmphasis" w:customStyle="1">
    <w:name w:val="Strong Emphasis"/>
    <w:rPr>
      <w:b/>
      <w:bCs/>
      <w:sz w:val="20"/>
      <w:szCs w:val="20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</w:pPr>
    <w:rPr>
      <w:rFonts w:cs="Calibri"/>
    </w:rPr>
  </w:style>
  <w:style w:type="paragraph" w:styleId="ConsPlusNonformat" w:customStyle="1">
    <w:name w:val="ConsPlusNonformat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Arial" w:hAnsi="Arial" w:eastAsia="Lucida Sans Unicode" w:cs="Mangal"/>
      <w:kern w:val="1"/>
      <w:sz w:val="21"/>
      <w:szCs w:val="24"/>
      <w:lang w:eastAsia="zh-cn" w:bidi="hi-in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sz w:val="20"/>
      <w:szCs w:val="20"/>
    </w:rPr>
  </w:style>
  <w:style w:type="character" w:styleId="StrongEmphasis" w:customStyle="1">
    <w:name w:val="Strong Emphasis"/>
    <w:rPr>
      <w:b/>
      <w:bCs/>
      <w:sz w:val="20"/>
      <w:szCs w:val="20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2AA987BCB4B39FFB1BB8CD81383663D2A375BDEF438F9611703ECC0B5E0B0F50FBADFBD8KBWCF" TargetMode="External"/><Relationship Id="rId8" Type="http://schemas.openxmlformats.org/officeDocument/2006/relationships/hyperlink" Target="consultantplus://offline/ref=2AA987BCB4B39FFB1BB8CD81383663D2A374BEEB408E9611703ECC0B5EK0WBF" TargetMode="External"/><Relationship Id="rId9" Type="http://schemas.openxmlformats.org/officeDocument/2006/relationships/hyperlink" Target="consultantplus://offline/ref=28F3DF1B95454878C6864F495DBE56D92112759F5DDF2335027E8C1E18DFE785BD7E9F35A324A1716Fe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18</cp:revision>
  <cp:lastPrinted>2017-05-02T07:44:00Z</cp:lastPrinted>
  <dcterms:created xsi:type="dcterms:W3CDTF">2017-04-19T12:06:00Z</dcterms:created>
  <dcterms:modified xsi:type="dcterms:W3CDTF">2017-05-04T12:08:53Z</dcterms:modified>
</cp:coreProperties>
</file>