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>
        <w:t xml:space="preserve">                                                                                       </w:t>
      </w:r>
    </w:p>
    <w:p>
      <w:pPr>
        <w:spacing/>
        <w:jc w:val="center"/>
      </w:pPr>
      <w:r/>
    </w:p>
    <w:p>
      <w:pPr>
        <w:spacing w:line="216" w:lineRule="auto"/>
        <w:jc w:val="both"/>
        <w:rPr>
          <w:spacing w:val="118"/>
          <w:sz w:val="16"/>
        </w:rPr>
      </w:pPr>
      <w:r>
        <w:rPr>
          <w:spacing w:val="118"/>
          <w:sz w:val="16"/>
        </w:rPr>
      </w:r>
    </w:p>
    <w:p>
      <w:pPr>
        <w:pStyle w:val=""/>
        <w:rPr>
          <w:sz w:val="28"/>
        </w:rPr>
      </w:pPr>
      <w:r>
        <w:rPr>
          <w:sz w:val="28"/>
        </w:rPr>
        <w:t xml:space="preserve">  ПРЕДСТАВИТЕЛЬНОЕ СОБРАНИЕ НИКОЛЬСКОГО</w:t>
      </w:r>
    </w:p>
    <w:p>
      <w:pPr>
        <w:pStyle w:val=""/>
        <w:rPr>
          <w:sz w:val="28"/>
        </w:rPr>
      </w:pPr>
      <w:r>
        <w:rPr>
          <w:sz w:val="28"/>
        </w:rPr>
        <w:t xml:space="preserve"> МУНИЦИПАЛЬНОГО РАЙОНА ВОЛОГОДСКОЙ ОБЛАСТИ</w:t>
      </w:r>
    </w:p>
    <w:p>
      <w:pPr>
        <w:pStyle w:val=""/>
        <w:rPr>
          <w:sz w:val="16"/>
        </w:rPr>
      </w:pPr>
      <w:r>
        <w:rPr>
          <w:sz w:val="16"/>
        </w:rPr>
      </w:r>
    </w:p>
    <w:p>
      <w:pPr>
        <w:pStyle w:val=""/>
      </w:pPr>
      <w:r>
        <w:t>РЕШЕНИЕ</w:t>
      </w:r>
    </w:p>
    <w:p>
      <w:pPr>
        <w:rPr>
          <w:b/>
          <w:bCs/>
          <w:spacing w:val="116"/>
          <w:sz w:val="16"/>
        </w:rPr>
      </w:pPr>
      <w:r>
        <w:rPr>
          <w:b/>
          <w:bCs/>
          <w:spacing w:val="116"/>
          <w:sz w:val="16"/>
        </w:rPr>
      </w:r>
    </w:p>
    <w:tbl>
      <w:tblPr>
        <w:tblW w:w="9000" w:type="dxa"/>
      </w:tblPr>
      <w:tblGrid>
        <w:gridCol w:w="2694"/>
        <w:gridCol w:w="3966"/>
        <w:gridCol w:w="2340"/>
      </w:tblGrid>
      <w:tr>
        <w:trPr>
          <w:trHeight w:val="0" w:hRule="auto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ind w:right="-249"/>
              <w:spacing w:line="276" w:lineRule="auto"/>
            </w:pPr>
            <w:r>
              <w:t xml:space="preserve"> От  29  .11. 2016 года                  </w:t>
            </w:r>
          </w:p>
        </w:tc>
        <w:tc>
          <w:tcPr>
            <w:tcW w:w="39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76" w:lineRule="auto"/>
              <w:jc w:val="center"/>
            </w:pPr>
            <w:r/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76" w:lineRule="auto"/>
              <w:jc w:val="center"/>
            </w:pPr>
            <w:r>
              <w:t xml:space="preserve"> №   69               </w:t>
            </w:r>
          </w:p>
        </w:tc>
      </w:tr>
    </w:tbl>
    <w:p>
      <w:pPr>
        <w:spacing/>
        <w:jc w:val="center"/>
        <w:rPr>
          <w:b/>
          <w:bCs/>
        </w:rPr>
      </w:pPr>
      <w:r>
        <w:rPr>
          <w:b/>
          <w:bCs/>
        </w:rPr>
        <w:t>г. Никольск</w:t>
      </w:r>
    </w:p>
    <w:p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828800" cy="462280"/>
                <wp:effectExtent l="0" t="0" r="0" b="0"/>
                <wp:wrapTopAndBottom/>
                <wp:docPr id="2" name="Прямоугольник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uApJWB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6BcAAAAAAAACAAAAxwcAAEALAADYAgAAAAAAAI0eAAB/FgAA"/>
                          </a:ext>
                        </a:extLst>
                      </wps:cNvSpPr>
                      <wps:spPr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26" style="position:absolute;margin-left:306.00pt;margin-top:99.55pt;width:144.00pt;height:36.40pt;mso-wrap-distance-left:9.00pt;mso-wrap-distance-top:0.00pt;mso-wrap-distance-right:9.00pt;mso-wrap-distance-bottom:0.00pt;mso-wrap-style:square" stroked="f" fillcolor="#ffffff" v:ext="SMDATA_11_uApJWB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6BcAAAAAAAACAAAAxwcAAEALAADYAgAAAAAAAI0eAAB/FgAA" o:insetmode="custom">
                <v:fill color2="#000000" type="solid" angle="180"/>
                <w10:wrap type="topAndBottom" anchorx="text" anchory="text"/>
                <v:textbox inset="7.2pt,3.6pt,7.2pt,3.6pt">
                  <w:txbxContent>
                    <w:p>
                      <w:r/>
                    </w:p>
                  </w:txbxContent>
                </v:textbox>
              </v:rect>
            </w:pict>
          </mc:Fallback>
        </mc:AlternateContent>
      </w:r>
      <w:r/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333375</wp:posOffset>
                </wp:positionV>
                <wp:extent cx="3832860" cy="921385"/>
                <wp:effectExtent l="0" t="0" r="0" b="0"/>
                <wp:wrapTopAndBottom/>
                <wp:docPr id="1" name="Прямоугольник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uApJWB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VAAAAAAAAAACAAAADQIAAJQXAACrBQAAAAAAAPkGAAAIEgAA"/>
                          </a:ext>
                        </a:extLst>
                      </wps:cNvSpPr>
                      <wps:spPr>
                        <a:xfrm>
                          <a:off x="0" y="0"/>
                          <a:ext cx="383286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both"/>
                            </w:pPr>
                            <w:r>
                              <w:t>Об утверждении Прогнозного плана (программы) приватизации муниципального имущества Никольского муниципального района на 2017-2019 годы</w:t>
                            </w:r>
                          </w:p>
                          <w:p>
                            <w:r/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2" o:spid="_x0000_s1027" style="position:absolute;margin-left:4.20pt;margin-top:26.25pt;width:301.80pt;height:72.55pt;mso-wrap-distance-left:9.00pt;mso-wrap-distance-top:0.00pt;mso-wrap-distance-right:9.00pt;mso-wrap-distance-bottom:0.00pt;mso-wrap-style:square" stroked="f" fillcolor="#ffffff" v:ext="SMDATA_11_uApJWB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VAAAAAAAAAACAAAADQIAAJQXAACrBQAAAAAAAPkGAAAIEgAA" o:insetmode="custom">
                <v:fill color2="#000000" type="solid" angle="180"/>
                <w10:wrap type="topAndBottom" anchorx="text" anchory="text"/>
                <v:textbox inset="7.2pt,3.6pt,7.2pt,3.6pt">
                  <w:txbxContent>
                    <w:p>
                      <w:pPr>
                        <w:spacing/>
                        <w:jc w:val="both"/>
                      </w:pPr>
                      <w:r>
                        <w:t>Об утверждении Прогнозного плана (программы) приватизации муниципального имущества Никольского муниципального района на 2017-2019 годы</w:t>
                      </w:r>
                    </w:p>
                    <w:p>
                      <w:r/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</w:r>
    </w:p>
    <w:p>
      <w:pPr>
        <w:spacing/>
        <w:jc w:val="both"/>
      </w:pPr>
      <w:r>
        <w:tab/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статьями 21,47 Устава Никольского муниципального района,</w:t>
      </w:r>
    </w:p>
    <w:p>
      <w:pPr>
        <w:spacing/>
        <w:jc w:val="both"/>
      </w:pPr>
      <w:r>
        <w:t>Представительное Собрание РЕШИЛО:</w:t>
      </w:r>
    </w:p>
    <w:p>
      <w:pPr>
        <w:pStyle w:val=""/>
        <w:numPr>
          <w:ilvl w:val="0"/>
          <w:numId w:val="1"/>
        </w:numPr>
        <w:ind w:left="0" w:firstLine="705"/>
        <w:spacing/>
        <w:jc w:val="both"/>
      </w:pPr>
      <w:r>
        <w:t>Утвердить прилагаемый Прогнозный план (программу) приватизации муниципального имущества Никольского муниципального района на 2017-2019 годы.</w:t>
      </w:r>
    </w:p>
    <w:p>
      <w:pPr>
        <w:pStyle w:val=""/>
        <w:numPr>
          <w:ilvl w:val="0"/>
          <w:numId w:val="1"/>
        </w:numPr>
        <w:ind w:left="0" w:firstLine="705"/>
        <w:spacing/>
        <w:jc w:val="both"/>
      </w:pPr>
      <w:r>
        <w:t>Настоящее решение вступает в силу с 1 января 2017 года, подлежит официальному опубликованию в районной газете «Авангард» и размещению на официальном  сайте Администрации Никольского муниципального района в информационно-телекоммуникационной сети «Интернет».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>
        <w:t>Председатель                                                                                          Глава района</w:t>
      </w:r>
    </w:p>
    <w:p>
      <w:pPr>
        <w:spacing/>
        <w:jc w:val="both"/>
      </w:pPr>
      <w:r>
        <w:t>Представительного Собрания</w:t>
      </w:r>
    </w:p>
    <w:p>
      <w:pPr>
        <w:spacing/>
        <w:jc w:val="both"/>
      </w:pPr>
      <w:r>
        <w:t xml:space="preserve">                     В. М. Поднебесников                                                                        В. В. Панов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right"/>
      </w:pPr>
      <w:r>
        <w:t>Утвержден</w:t>
      </w:r>
    </w:p>
    <w:p>
      <w:pPr>
        <w:spacing/>
        <w:jc w:val="right"/>
      </w:pPr>
      <w:r>
        <w:t xml:space="preserve">                                                     решением Представительного Собрания </w:t>
      </w:r>
    </w:p>
    <w:p>
      <w:pPr>
        <w:spacing/>
        <w:jc w:val="right"/>
      </w:pPr>
      <w:r>
        <w:t xml:space="preserve"> Никольского   муниципального района</w:t>
      </w:r>
    </w:p>
    <w:p>
      <w:pPr>
        <w:spacing/>
        <w:jc w:val="right"/>
      </w:pPr>
      <w:r>
        <w:t xml:space="preserve"> от 29.11.2016 года    № 69</w:t>
      </w:r>
    </w:p>
    <w:p>
      <w:pPr>
        <w:spacing/>
        <w:jc w:val="right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t>Прогнозный план</w:t>
      </w:r>
    </w:p>
    <w:p>
      <w:pPr>
        <w:spacing/>
        <w:jc w:val="center"/>
      </w:pPr>
      <w:r>
        <w:t>(программа) приватизации муниципального имущества</w:t>
      </w:r>
    </w:p>
    <w:p>
      <w:pPr>
        <w:spacing/>
        <w:jc w:val="center"/>
      </w:pPr>
      <w:r>
        <w:t xml:space="preserve"> Никольского муниципального района на 2017 год и плановый период 2018-2019 годы</w:t>
      </w:r>
    </w:p>
    <w:p>
      <w:pPr>
        <w:spacing/>
        <w:jc w:val="center"/>
      </w:pPr>
      <w:r/>
    </w:p>
    <w:p>
      <w:pPr>
        <w:pStyle w:val=""/>
        <w:numPr>
          <w:ilvl w:val="0"/>
          <w:numId w:val="2"/>
        </w:numPr>
        <w:ind w:left="720" w:hanging="360"/>
        <w:spacing/>
        <w:jc w:val="center"/>
      </w:pPr>
      <w:r>
        <w:t>Общие положения</w:t>
      </w:r>
    </w:p>
    <w:p>
      <w:pPr>
        <w:ind w:firstLine="360"/>
        <w:spacing/>
        <w:jc w:val="both"/>
      </w:pPr>
      <w:r>
        <w:t>Основными задачами приватизации  муниципального имущества являются оптимизация структуры муниципальной собственности в соответствии с Федеральным законом от 06 октября 2003 года № 131-ФЗ «Об общих принципах организации местного самоуправления в Российской Федерации» и формирование доходов районного бюджета.</w:t>
      </w:r>
    </w:p>
    <w:p>
      <w:pPr>
        <w:ind w:firstLine="360"/>
        <w:spacing/>
        <w:jc w:val="both"/>
      </w:pPr>
      <w:r>
        <w:t>Исходя из анализа муниципального имущества, включенного в Прогнозный план (программу) приватизации  муниципального имущества Никольского муниципального района, и муниципального имущества, которое может быть включено в Прогнозный план дополнительно после подготовки документов, в  2017-2019 годах от приватизации муниципального имущества ожидается получение доходов не менее 1500,00 тысяч рублей.</w:t>
      </w:r>
    </w:p>
    <w:p>
      <w:pPr>
        <w:ind w:firstLine="360"/>
        <w:spacing/>
        <w:jc w:val="both"/>
      </w:pPr>
      <w:r>
        <w:t xml:space="preserve">  в 2017 году – не менее 500,0 тысяч рублей. </w:t>
      </w:r>
    </w:p>
    <w:p>
      <w:pPr>
        <w:ind w:firstLine="360"/>
        <w:spacing/>
        <w:jc w:val="both"/>
      </w:pPr>
      <w:r>
        <w:t xml:space="preserve">  в 2018 году - не менее 500,0 тысяч рублей,</w:t>
      </w:r>
    </w:p>
    <w:p>
      <w:pPr>
        <w:ind w:firstLine="360"/>
        <w:spacing/>
        <w:jc w:val="both"/>
      </w:pPr>
      <w:r>
        <w:t xml:space="preserve">  в 2019 году – не менее 500,0 тысяч рублей</w:t>
      </w:r>
    </w:p>
    <w:p>
      <w:pPr>
        <w:ind w:firstLine="360"/>
        <w:spacing/>
        <w:jc w:val="both"/>
      </w:pPr>
      <w:r/>
    </w:p>
    <w:p>
      <w:pPr>
        <w:pStyle w:val=""/>
        <w:numPr>
          <w:ilvl w:val="0"/>
          <w:numId w:val="2"/>
        </w:numPr>
        <w:ind w:left="720" w:hanging="360"/>
        <w:spacing/>
        <w:jc w:val="both"/>
      </w:pPr>
      <w:r>
        <w:t>Муниципальное имущество, приватизация которого планируется в 2017-2019 годах</w:t>
      </w:r>
    </w:p>
    <w:p>
      <w:pPr>
        <w:spacing/>
        <w:jc w:val="center"/>
      </w:pPr>
      <w:r/>
    </w:p>
    <w:p>
      <w:pPr>
        <w:pStyle w:val=""/>
        <w:numPr>
          <w:ilvl w:val="1"/>
          <w:numId w:val="2"/>
        </w:numPr>
        <w:ind w:left="1004" w:hanging="720"/>
        <w:spacing/>
        <w:jc w:val="center"/>
      </w:pPr>
      <w:r>
        <w:t>Перечень муниципальных унитарных предприятий района, которые планируется приватизировать в 2017-2019 годах</w:t>
      </w:r>
    </w:p>
    <w:p>
      <w:pPr>
        <w:spacing/>
        <w:jc w:val="center"/>
      </w:pPr>
      <w:r/>
    </w:p>
    <w:tbl>
      <w:tblPr>
        <w:tblW w:w="9464" w:type="dxa"/>
      </w:tblPr>
      <w:tblGrid>
        <w:gridCol w:w="645"/>
        <w:gridCol w:w="1965"/>
        <w:gridCol w:w="2415"/>
        <w:gridCol w:w="1869"/>
        <w:gridCol w:w="2570"/>
      </w:tblGrid>
      <w:tr>
        <w:trPr>
          <w:trHeight w:val="0" w:hRule="auto"/>
        </w:trPr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№ п/п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Наименование предприятия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Местонахождение предприятия</w: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Способ приватизации</w:t>
            </w:r>
          </w:p>
        </w:tc>
        <w:tc>
          <w:tcPr>
            <w:tcW w:w="257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Предполагаемый срок приватизации</w:t>
            </w:r>
          </w:p>
          <w:p>
            <w:pPr>
              <w:spacing/>
              <w:jc w:val="center"/>
            </w:pPr>
            <w:r/>
          </w:p>
        </w:tc>
      </w:tr>
      <w:tr>
        <w:trPr>
          <w:trHeight w:val="0" w:hRule="auto"/>
        </w:trPr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257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spacing/>
        <w:jc w:val="center"/>
      </w:pPr>
      <w:r/>
    </w:p>
    <w:p>
      <w:pPr>
        <w:pStyle w:val=""/>
        <w:numPr>
          <w:ilvl w:val="1"/>
          <w:numId w:val="2"/>
        </w:numPr>
        <w:ind w:left="1004" w:hanging="720"/>
        <w:spacing/>
        <w:jc w:val="center"/>
      </w:pPr>
      <w:r>
        <w:t xml:space="preserve">Перечень акционерных обществ, акции которых, находящиеся в муниципальной собственности, планируется </w:t>
      </w:r>
    </w:p>
    <w:p>
      <w:pPr>
        <w:pStyle w:val=""/>
        <w:ind w:left="1004"/>
      </w:pPr>
      <w:r>
        <w:t xml:space="preserve">                          приватизировать в 2017-2019 годах</w:t>
      </w:r>
      <w:bookmarkStart w:id="0" w:name="_GoBack"/>
      <w:bookmarkEnd w:id="0"/>
      <w:r/>
    </w:p>
    <w:p>
      <w:pPr>
        <w:pStyle w:val=""/>
        <w:ind w:left="1080"/>
      </w:pPr>
      <w:r/>
    </w:p>
    <w:tbl>
      <w:tblPr>
        <w:tblW w:w="9760" w:type="dxa"/>
      </w:tblPr>
      <w:tblGrid>
        <w:gridCol w:w="583"/>
        <w:gridCol w:w="2927"/>
        <w:gridCol w:w="2127"/>
        <w:gridCol w:w="1701"/>
        <w:gridCol w:w="1134"/>
        <w:gridCol w:w="1288"/>
      </w:tblGrid>
      <w:tr>
        <w:trPr>
          <w:trHeight w:val="0" w:hRule="auto"/>
        </w:trPr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№ п/п</w:t>
            </w:r>
          </w:p>
        </w:tc>
        <w:tc>
          <w:tcPr>
            <w:tcW w:w="29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Наименование акционерного общества, его местоположение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Количество акций, находящихся в муниципальной собственности, и доля этих акций  в уставном капитале  в процентах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Количество акций, планируемых к приватизации, и доля этих акций  в уставном капитале общества в процентах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Способ приватизации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Предполагаемый срок приватизации</w:t>
            </w:r>
          </w:p>
        </w:tc>
      </w:tr>
      <w:tr>
        <w:trPr>
          <w:trHeight w:val="0" w:hRule="auto"/>
        </w:trPr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-</w:t>
            </w:r>
          </w:p>
        </w:tc>
        <w:tc>
          <w:tcPr>
            <w:tcW w:w="29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-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-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-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-</w:t>
            </w:r>
          </w:p>
        </w:tc>
      </w:tr>
    </w:tbl>
    <w:p>
      <w:pPr>
        <w:spacing/>
        <w:jc w:val="both"/>
      </w:pPr>
      <w:r/>
    </w:p>
    <w:p>
      <w:pPr>
        <w:pStyle w:val=""/>
        <w:numPr>
          <w:ilvl w:val="1"/>
          <w:numId w:val="2"/>
        </w:numPr>
        <w:ind w:left="1004" w:hanging="720"/>
        <w:spacing/>
        <w:jc w:val="center"/>
      </w:pPr>
      <w:r>
        <w:t>Перечень иного имущества, которое планируется  приватизировать в 2017 году.</w:t>
      </w:r>
    </w:p>
    <w:tbl>
      <w:tblPr>
        <w:tblW w:w="9747" w:type="dxa"/>
      </w:tblPr>
      <w:tblGrid>
        <w:gridCol w:w="488"/>
        <w:gridCol w:w="3022"/>
        <w:gridCol w:w="2127"/>
        <w:gridCol w:w="1701"/>
        <w:gridCol w:w="1134"/>
        <w:gridCol w:w="1275"/>
      </w:tblGrid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№ п/п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Наименование</w:t>
            </w:r>
          </w:p>
          <w:p>
            <w:pPr>
              <w:spacing/>
              <w:jc w:val="center"/>
            </w:pPr>
            <w:r>
              <w:t>имущества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Местонахождение имущества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Способ приватизации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Предполагаемый срок приватизации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Примечание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Одноэтажное деревянное нежилое здание площадью 304,7 кв.м.;</w:t>
            </w:r>
          </w:p>
          <w:p>
            <w:r>
              <w:t>Одноэтажное деревянное нежилое здание площадью 63,8 кв.м.;</w:t>
            </w:r>
          </w:p>
          <w:p>
            <w:r>
              <w:t>Одноэтажное деревянное нежилое здание площадью 21,4 кв.м. с земельным участком.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г. Никольск, ул. Красная, д.25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1 квартал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Материалы от разборки списанного нежилого здания интерната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д. Вахнево, д. 79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используется,  списано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Материалы от разборки списанного нежилого здания овощехранилища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</w:t>
            </w:r>
          </w:p>
          <w:p>
            <w:r>
              <w:t xml:space="preserve"> д. Ивантец, </w:t>
            </w:r>
          </w:p>
          <w:p>
            <w:r>
              <w:t>д. 79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используется,  списано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4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Нежилое здание школы с земельным участком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Никольский район, </w:t>
            </w:r>
          </w:p>
          <w:p>
            <w:r>
              <w:t xml:space="preserve">д. Завражье, </w:t>
            </w:r>
          </w:p>
          <w:p>
            <w:r>
              <w:t>ул. Школьная,</w:t>
            </w:r>
          </w:p>
          <w:p>
            <w:r>
              <w:t xml:space="preserve"> д. 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5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Материалы от разборки списанного нежилого здания насосной станции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</w:t>
            </w:r>
          </w:p>
          <w:p>
            <w:r>
              <w:t xml:space="preserve"> п. Дуниловский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используется,  списано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6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Нежилое помещение, состоящее из комнат с 13-21, общей площадью-106,0 кв.м.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дер. Ильинское, д.37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7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Нежилое помещение, состоящие из комнат с 1-12, площадью-105,1 м2 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дер. Ильинское, д.37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8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Нежилое здание с земельным участком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г. Никольск, ул. Заводская,</w:t>
            </w:r>
          </w:p>
          <w:p>
            <w:r>
              <w:t xml:space="preserve"> д.35-а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1335" w:hRule="atLeast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9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Школа, общей площадью-159,9 кв.м.  с земельным  участком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дер.  Скочково, д.80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10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школы                                   д. Скочково,                                 ул. Самодумово, 27                          с земельным  участком, площадью 206,1 кв.м.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Никольский район, </w:t>
            </w:r>
          </w:p>
          <w:p>
            <w:r>
              <w:t>д. Скочково,</w:t>
            </w:r>
          </w:p>
          <w:p>
            <w:r>
              <w:t xml:space="preserve">ул. Самодумово, д.27 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1 квартал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11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Помещение № 2, занимаемое школой, состоящее из нежилых комнат с № 6 по № 21 нежилого деревянного здания, площадью-224,6 кв.м.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д. Котельное, д.57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2 квартал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12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Красавинской школы площадью                     45,5 кв.м.,  с земельным  участком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</w:t>
            </w:r>
          </w:p>
          <w:p>
            <w:r>
              <w:t xml:space="preserve"> д. Красавино д.39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13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Помещение № 2, занимаемое библиотекой, состоящее из нежилой комнаты № 5 нежилого деревянного здания, площадью-46,9 кв.м.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</w:t>
            </w:r>
          </w:p>
          <w:p>
            <w:r>
              <w:t>дер. Ирданово, д.60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14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детского сада с земельным  участком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</w:t>
            </w:r>
          </w:p>
          <w:p>
            <w:r>
              <w:t xml:space="preserve"> п. Дуниловский, пер. Черемуховый, д.1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15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школы , площадью 190,9 кв.м. с земельным  участком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дер. Никольское д.77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16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Нежилое здание хлебозавода площадью 692,8 кв.м.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пос. Борок ул.Советская  д.2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17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изолятора, общей площадью 78,2 кв.м.; здание столовой-53,2 кв.м.; здание спальни-301,0 кв.м.   с земельным участком 30000 кв.м.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примерно в 20 м по направлению на северо-запад от ориентира с. Лоха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18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Нежилое помещение №1-7, 11-19,23 общей площадью 228 кв. 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д. Мякишево, д. 36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Здание не используется  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19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Нежилое здание с земельным участком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</w:t>
            </w:r>
          </w:p>
          <w:p>
            <w:r>
              <w:t xml:space="preserve"> п. Кудангский, </w:t>
            </w:r>
          </w:p>
          <w:p>
            <w:r>
              <w:t>д. 123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20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Материалы от разборки списанного здания мастерских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д. Полежаево, д. 44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используется,  списано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21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Материалы от разборки списанного здания спортзала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</w:t>
            </w:r>
          </w:p>
          <w:p>
            <w:r>
              <w:t xml:space="preserve"> д. Полежаево, </w:t>
            </w:r>
          </w:p>
          <w:p>
            <w:r>
              <w:t>д. 44-а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используется,  списано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22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Нежилое помещение №2, площадью-28,1кв.м. 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 д.Кожаево  ул.Школьная д.2А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23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Нежилое здание, площадью 30,5 кв.м.,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Вологодская обл., Никольский район, г. Никольск, ул. Беляева, д. 53-з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24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площадью 30,0 кв.м.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Вологодская обл., Никольский район, д. Нигино, ул. Садовая, д.41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4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25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интерната площадью 172,3 кв.м.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Вологодская обл., Никольский район, д.Зеленцово, д.142Б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4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26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Помещение, площадью -           81,0 кв.м.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Вологодская обл., Никольский район, д. Аксентьево, д.32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4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</w:tbl>
    <w:p>
      <w:pPr>
        <w:spacing/>
        <w:jc w:val="center"/>
      </w:pPr>
      <w:r/>
    </w:p>
    <w:p>
      <w:pPr>
        <w:pStyle w:val=""/>
        <w:numPr>
          <w:ilvl w:val="1"/>
          <w:numId w:val="2"/>
        </w:numPr>
        <w:ind w:left="720" w:hanging="720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иного имущества, которое планируется приватизировать в 2018 году</w:t>
      </w:r>
    </w:p>
    <w:tbl>
      <w:tblPr>
        <w:tblW w:w="9747" w:type="dxa"/>
      </w:tblPr>
      <w:tblGrid>
        <w:gridCol w:w="488"/>
        <w:gridCol w:w="3022"/>
        <w:gridCol w:w="2127"/>
        <w:gridCol w:w="1701"/>
        <w:gridCol w:w="1134"/>
        <w:gridCol w:w="1275"/>
      </w:tblGrid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№ п/п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Наименование</w:t>
            </w:r>
          </w:p>
          <w:p>
            <w:pPr>
              <w:spacing/>
              <w:jc w:val="center"/>
            </w:pPr>
            <w:r>
              <w:t>имущества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Местонахождение имущества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Способ приватизации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Предполагаемый срок приватизации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Примечание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Помещение № 2, занимаемое школой, состоящее из нежилых комнат с №6 по № 9 нежилого деревянного здания, площадью-70,1 кв.м.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дер. Б-Сверчково, д.15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Нежилое деревянное здание (ФАП) площадью 35,7 кв.м. с земельным участком 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Вологодская обл., Никольский район, д. Путилово, д.33А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Квартира, площадью 51,8 кв.м.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Вологодская обл., Никольский район, д. Мякишево, д.32, кв.1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4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Нежилые здания школы, мастерских, спортзала с земельным участком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д. Калинино, д.82,82-а,83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Здания не используется  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5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Нежилое здание, площадью-144,6 кв.м. с земельным участком, площадью 750,0 кв.м. 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</w:t>
            </w:r>
          </w:p>
          <w:p>
            <w:r>
              <w:t xml:space="preserve"> д. Большое Сверчково, </w:t>
            </w:r>
          </w:p>
          <w:p>
            <w:r>
              <w:t>д. 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</w:tbl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"/>
        <w:numPr>
          <w:ilvl w:val="1"/>
          <w:numId w:val="2"/>
        </w:numPr>
        <w:ind w:left="720" w:hanging="720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иного имущества, которое планируется приватизировать в 2019 году</w:t>
      </w:r>
    </w:p>
    <w:tbl>
      <w:tblPr>
        <w:tblW w:w="9747" w:type="dxa"/>
      </w:tblPr>
      <w:tblGrid>
        <w:gridCol w:w="488"/>
        <w:gridCol w:w="3022"/>
        <w:gridCol w:w="2127"/>
        <w:gridCol w:w="1701"/>
        <w:gridCol w:w="1134"/>
        <w:gridCol w:w="1275"/>
      </w:tblGrid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№ п/п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Наименование</w:t>
            </w:r>
          </w:p>
          <w:p>
            <w:pPr>
              <w:spacing/>
              <w:jc w:val="center"/>
            </w:pPr>
            <w:r>
              <w:t>имущества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Местонахождение имущества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Способ приватизации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Предполагаемый срок приватизации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Примечание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Незавершенное строительством одноэтажное кирпичное нежилое здание, общей площадью-419,8 кв.м. с земельным  участком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 пос. Левобережный, ул. Центральная, дом 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1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  <w:tr>
        <w:trPr>
          <w:trHeight w:val="0" w:hRule="auto"/>
        </w:trPr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</w:t>
            </w:r>
          </w:p>
        </w:tc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Незавершенное строительство столовой                    д. Зеленцово  2008 г.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Никольский район, д. Зеленцово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Аукцион (посредством публичного предложения)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 квартал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Здание не используется</w:t>
            </w:r>
          </w:p>
        </w:tc>
      </w:tr>
    </w:tbl>
    <w:p>
      <w:pPr>
        <w:pStyle w:val="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426" w:right="850" w:bottom="993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568" w:hanging="0"/>
      </w:pPr>
      <w:rPr/>
    </w:lvl>
    <w:lvl w:ilvl="1">
      <w:start w:val="1"/>
      <w:numFmt w:val="lowerLetter"/>
      <w:suff w:val="tab"/>
      <w:lvlText w:val="%2."/>
      <w:lvlJc w:val="left"/>
      <w:pPr>
        <w:ind w:left="1425" w:hanging="0"/>
      </w:pPr>
      <w:rPr/>
    </w:lvl>
    <w:lvl w:ilvl="2">
      <w:start w:val="1"/>
      <w:numFmt w:val="lowerRoman"/>
      <w:suff w:val="tab"/>
      <w:lvlText w:val="%3."/>
      <w:lvlJc w:val="left"/>
      <w:pPr>
        <w:ind w:left="2325" w:hanging="0"/>
      </w:pPr>
      <w:rPr/>
    </w:lvl>
    <w:lvl w:ilvl="3">
      <w:start w:val="1"/>
      <w:numFmt w:val="decimal"/>
      <w:suff w:val="tab"/>
      <w:lvlText w:val="%4."/>
      <w:lvlJc w:val="left"/>
      <w:pPr>
        <w:ind w:left="2865" w:hanging="0"/>
      </w:pPr>
      <w:rPr/>
    </w:lvl>
    <w:lvl w:ilvl="4">
      <w:start w:val="1"/>
      <w:numFmt w:val="lowerLetter"/>
      <w:suff w:val="tab"/>
      <w:lvlText w:val="%5."/>
      <w:lvlJc w:val="left"/>
      <w:pPr>
        <w:ind w:left="3585" w:hanging="0"/>
      </w:pPr>
      <w:rPr/>
    </w:lvl>
    <w:lvl w:ilvl="5">
      <w:start w:val="1"/>
      <w:numFmt w:val="lowerRoman"/>
      <w:suff w:val="tab"/>
      <w:lvlText w:val="%6."/>
      <w:lvlJc w:val="left"/>
      <w:pPr>
        <w:ind w:left="4485" w:hanging="0"/>
      </w:pPr>
      <w:rPr/>
    </w:lvl>
    <w:lvl w:ilvl="6">
      <w:start w:val="1"/>
      <w:numFmt w:val="decimal"/>
      <w:suff w:val="tab"/>
      <w:lvlText w:val="%7."/>
      <w:lvlJc w:val="left"/>
      <w:pPr>
        <w:ind w:left="5025" w:hanging="0"/>
      </w:pPr>
      <w:rPr/>
    </w:lvl>
    <w:lvl w:ilvl="7">
      <w:start w:val="1"/>
      <w:numFmt w:val="lowerLetter"/>
      <w:suff w:val="tab"/>
      <w:lvlText w:val="%8."/>
      <w:lvlJc w:val="left"/>
      <w:pPr>
        <w:ind w:left="5745" w:hanging="0"/>
      </w:pPr>
      <w:rPr/>
    </w:lvl>
    <w:lvl w:ilvl="8">
      <w:start w:val="1"/>
      <w:numFmt w:val="lowerRoman"/>
      <w:suff w:val="tab"/>
      <w:lvlText w:val="%9."/>
      <w:lvlJc w:val="left"/>
      <w:pPr>
        <w:ind w:left="6645" w:hanging="0"/>
      </w:pPr>
      <w:rPr/>
    </w:lvl>
  </w:abstractNum>
  <w:abstractNum w:abstractNumId="2">
    <w:multiLevelType w:val="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1.%2."/>
      <w:lvlJc w:val="left"/>
      <w:pPr>
        <w:ind w:left="284" w:hanging="0"/>
      </w:pPr>
      <w:rPr/>
    </w:lvl>
    <w:lvl w:ilvl="2">
      <w:start w:val="1"/>
      <w:numFmt w:val="decimal"/>
      <w:suff w:val="tab"/>
      <w:lvlText w:val="%1.%2.%3."/>
      <w:lvlJc w:val="left"/>
      <w:pPr>
        <w:ind w:left="36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36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36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  <w:rPr/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8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81181880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pPr>
      <w:spacing/>
      <w:jc w:val="center"/>
    </w:pPr>
    <w:rPr>
      <w:b/>
      <w:bCs/>
      <w:spacing w:val="97"/>
      <w:sz w:val="32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No Spacing"/>
    <w:qFormat/>
    <w:rPr>
      <w:rFonts w:ascii="Calibri" w:hAnsi="Calibri" w:eastAsia="Calibri"/>
      <w:sz w:val="22"/>
      <w:szCs w:val="22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/>
      <w:spacing w:val="40"/>
      <w:sz w:val="32"/>
      <w:szCs w:val="24"/>
    </w:rPr>
  </w:style>
  <w:style w:type="character" w:styleId="" w:customStyle="1">
    <w:name w:val="Текст выноски Знак"/>
    <w:basedOn w:val="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pPr>
      <w:spacing/>
      <w:jc w:val="center"/>
    </w:pPr>
    <w:rPr>
      <w:b/>
      <w:bCs/>
      <w:spacing w:val="97"/>
      <w:sz w:val="32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No Spacing"/>
    <w:qFormat/>
    <w:rPr>
      <w:rFonts w:ascii="Calibri" w:hAnsi="Calibri" w:eastAsia="Calibri"/>
      <w:sz w:val="22"/>
      <w:szCs w:val="22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/>
      <w:spacing w:val="40"/>
      <w:sz w:val="32"/>
      <w:szCs w:val="24"/>
    </w:rPr>
  </w:style>
  <w:style w:type="character" w:styleId="" w:customStyle="1">
    <w:name w:val="Текст выноски Знак"/>
    <w:basedOn w:val="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6</cp:revision>
  <cp:lastPrinted>2016-11-30T12:09:00Z</cp:lastPrinted>
  <dcterms:created xsi:type="dcterms:W3CDTF">2016-10-24T12:26:00Z</dcterms:created>
  <dcterms:modified xsi:type="dcterms:W3CDTF">2016-12-08T10:24:40Z</dcterms:modified>
</cp:coreProperties>
</file>