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widowControl/>
        <w:suppressAutoHyphens w:val="false"/>
        <w:jc w:val="center"/>
        <w:textAlignment w:val="auto"/>
        <w:rPr/>
      </w:pPr>
      <w:r>
        <w:rPr>
          <w:rStyle w:val="Style14"/>
          <w:rFonts w:eastAsia="Times New Roman" w:cs="Times New Roman"/>
          <w:lang w:eastAsia="ru-RU" w:bidi="ar-SA"/>
        </w:rPr>
        <w:object>
          <v:shape id="ole_rId2" style="width:48pt;height:60pt" o:ole="">
            <v:imagedata r:id="rId3" o:title=""/>
          </v:shape>
          <o:OLEObject Type="Embed" ProgID="" ShapeID="ole_rId2" DrawAspect="Content" ObjectID="_668529525" r:id="rId2"/>
        </w:object>
      </w:r>
    </w:p>
    <w:p>
      <w:pPr>
        <w:pStyle w:val="Style19"/>
        <w:widowControl/>
        <w:suppressAutoHyphens w:val="false"/>
        <w:spacing w:lineRule="auto" w:line="216"/>
        <w:jc w:val="both"/>
        <w:textAlignment w:val="auto"/>
        <w:rPr>
          <w:rFonts w:eastAsia="Times New Roman" w:cs="Times New Roman"/>
          <w:spacing w:val="120"/>
          <w:sz w:val="16"/>
          <w:lang w:eastAsia="ru-RU" w:bidi="ar-SA"/>
        </w:rPr>
      </w:pPr>
      <w:r>
        <w:rPr>
          <w:rFonts w:eastAsia="Times New Roman" w:cs="Times New Roman"/>
          <w:spacing w:val="120"/>
          <w:sz w:val="16"/>
          <w:lang w:eastAsia="ru-RU" w:bidi="ar-SA"/>
        </w:rPr>
      </w:r>
    </w:p>
    <w:p>
      <w:pPr>
        <w:pStyle w:val="Style19"/>
        <w:widowControl/>
        <w:suppressAutoHyphens w:val="false"/>
        <w:jc w:val="center"/>
        <w:textAlignment w:val="auto"/>
        <w:rPr>
          <w:rFonts w:eastAsia="Times New Roman" w:cs="Times New Roman"/>
          <w:b/>
          <w:b/>
          <w:bCs/>
          <w:spacing w:val="120"/>
          <w:sz w:val="28"/>
          <w:lang w:eastAsia="ru-RU" w:bidi="ar-SA"/>
        </w:rPr>
      </w:pPr>
      <w:r>
        <w:rPr>
          <w:rFonts w:eastAsia="Times New Roman" w:cs="Times New Roman"/>
          <w:b/>
          <w:bCs/>
          <w:spacing w:val="120"/>
          <w:sz w:val="28"/>
          <w:lang w:eastAsia="ru-RU" w:bidi="ar-SA"/>
        </w:rPr>
        <w:t xml:space="preserve">  </w:t>
      </w:r>
      <w:r>
        <w:rPr>
          <w:rFonts w:eastAsia="Times New Roman" w:cs="Times New Roman"/>
          <w:b/>
          <w:bCs/>
          <w:spacing w:val="120"/>
          <w:sz w:val="28"/>
          <w:lang w:eastAsia="ru-RU" w:bidi="ar-SA"/>
        </w:rPr>
        <w:t xml:space="preserve">ПРЕДСТАВИТЕЛЬНОЕ СОБРАНИЕ </w:t>
      </w:r>
    </w:p>
    <w:p>
      <w:pPr>
        <w:pStyle w:val="Style19"/>
        <w:widowControl/>
        <w:suppressAutoHyphens w:val="false"/>
        <w:jc w:val="center"/>
        <w:textAlignment w:val="auto"/>
        <w:rPr>
          <w:rFonts w:eastAsia="Times New Roman" w:cs="Times New Roman"/>
          <w:b/>
          <w:b/>
          <w:bCs/>
          <w:spacing w:val="120"/>
          <w:sz w:val="28"/>
          <w:lang w:eastAsia="ru-RU" w:bidi="ar-SA"/>
        </w:rPr>
      </w:pPr>
      <w:r>
        <w:rPr>
          <w:rFonts w:eastAsia="Times New Roman" w:cs="Times New Roman"/>
          <w:b/>
          <w:bCs/>
          <w:spacing w:val="120"/>
          <w:sz w:val="28"/>
          <w:lang w:eastAsia="ru-RU" w:bidi="ar-SA"/>
        </w:rPr>
        <w:t>НИКОЛЬСКОГО</w:t>
      </w:r>
    </w:p>
    <w:p>
      <w:pPr>
        <w:pStyle w:val="Style19"/>
        <w:widowControl/>
        <w:suppressAutoHyphens w:val="false"/>
        <w:jc w:val="center"/>
        <w:textAlignment w:val="auto"/>
        <w:rPr>
          <w:rFonts w:eastAsia="Times New Roman" w:cs="Times New Roman"/>
          <w:b/>
          <w:b/>
          <w:bCs/>
          <w:spacing w:val="120"/>
          <w:sz w:val="28"/>
          <w:lang w:eastAsia="ru-RU" w:bidi="ar-SA"/>
        </w:rPr>
      </w:pPr>
      <w:r>
        <w:rPr>
          <w:rFonts w:eastAsia="Times New Roman" w:cs="Times New Roman"/>
          <w:b/>
          <w:bCs/>
          <w:spacing w:val="120"/>
          <w:sz w:val="28"/>
          <w:lang w:eastAsia="ru-RU" w:bidi="ar-SA"/>
        </w:rPr>
        <w:t xml:space="preserve"> </w:t>
      </w:r>
      <w:r>
        <w:rPr>
          <w:rFonts w:eastAsia="Times New Roman" w:cs="Times New Roman"/>
          <w:b/>
          <w:bCs/>
          <w:spacing w:val="120"/>
          <w:sz w:val="28"/>
          <w:lang w:eastAsia="ru-RU" w:bidi="ar-SA"/>
        </w:rPr>
        <w:t>МУНИЦИПАЛЬНОГО РАЙОНА</w:t>
      </w:r>
    </w:p>
    <w:p>
      <w:pPr>
        <w:pStyle w:val="Style19"/>
        <w:widowControl/>
        <w:suppressAutoHyphens w:val="false"/>
        <w:jc w:val="center"/>
        <w:textAlignment w:val="auto"/>
        <w:rPr>
          <w:rFonts w:eastAsia="Times New Roman" w:cs="Times New Roman"/>
          <w:b/>
          <w:b/>
          <w:bCs/>
          <w:spacing w:val="120"/>
          <w:sz w:val="28"/>
          <w:lang w:eastAsia="ru-RU" w:bidi="ar-SA"/>
        </w:rPr>
      </w:pPr>
      <w:r>
        <w:rPr>
          <w:rFonts w:eastAsia="Times New Roman" w:cs="Times New Roman"/>
          <w:b/>
          <w:bCs/>
          <w:spacing w:val="120"/>
          <w:sz w:val="28"/>
          <w:lang w:eastAsia="ru-RU" w:bidi="ar-SA"/>
        </w:rPr>
        <w:t xml:space="preserve"> </w:t>
      </w:r>
      <w:r>
        <w:rPr>
          <w:rFonts w:eastAsia="Times New Roman" w:cs="Times New Roman"/>
          <w:b/>
          <w:bCs/>
          <w:spacing w:val="120"/>
          <w:sz w:val="28"/>
          <w:lang w:eastAsia="ru-RU" w:bidi="ar-SA"/>
        </w:rPr>
        <w:t>ВОЛОГОДСКОЙ ОБЛАСТИ</w:t>
      </w:r>
    </w:p>
    <w:p>
      <w:pPr>
        <w:pStyle w:val="Style19"/>
        <w:widowControl/>
        <w:suppressAutoHyphens w:val="false"/>
        <w:jc w:val="center"/>
        <w:textAlignment w:val="auto"/>
        <w:rPr>
          <w:rFonts w:eastAsia="Times New Roman" w:cs="Times New Roman"/>
          <w:b/>
          <w:b/>
          <w:bCs/>
          <w:spacing w:val="120"/>
          <w:sz w:val="16"/>
          <w:lang w:eastAsia="ru-RU" w:bidi="ar-SA"/>
        </w:rPr>
      </w:pPr>
      <w:r>
        <w:rPr>
          <w:rFonts w:eastAsia="Times New Roman" w:cs="Times New Roman"/>
          <w:b/>
          <w:bCs/>
          <w:spacing w:val="120"/>
          <w:sz w:val="16"/>
          <w:lang w:eastAsia="ru-RU" w:bidi="ar-SA"/>
        </w:rPr>
      </w:r>
    </w:p>
    <w:p>
      <w:pPr>
        <w:pStyle w:val="Style19"/>
        <w:widowControl/>
        <w:suppressAutoHyphens w:val="false"/>
        <w:jc w:val="center"/>
        <w:textAlignment w:val="auto"/>
        <w:rPr>
          <w:rFonts w:eastAsia="Times New Roman" w:cs="Times New Roman"/>
          <w:b/>
          <w:b/>
          <w:bCs/>
          <w:spacing w:val="120"/>
          <w:sz w:val="32"/>
          <w:lang w:eastAsia="ru-RU" w:bidi="ar-SA"/>
        </w:rPr>
      </w:pPr>
      <w:r>
        <w:rPr>
          <w:rFonts w:eastAsia="Times New Roman" w:cs="Times New Roman"/>
          <w:b/>
          <w:bCs/>
          <w:spacing w:val="120"/>
          <w:sz w:val="32"/>
          <w:lang w:eastAsia="ru-RU" w:bidi="ar-SA"/>
        </w:rPr>
        <w:t>РЕШЕНИЕ</w:t>
      </w:r>
    </w:p>
    <w:p>
      <w:pPr>
        <w:pStyle w:val="Style19"/>
        <w:widowControl/>
        <w:suppressAutoHyphens w:val="false"/>
        <w:textAlignment w:val="auto"/>
        <w:rPr>
          <w:rFonts w:eastAsia="Times New Roman" w:cs="Times New Roman"/>
          <w:b/>
          <w:b/>
          <w:bCs/>
          <w:spacing w:val="120"/>
          <w:sz w:val="16"/>
          <w:lang w:eastAsia="ru-RU" w:bidi="ar-SA"/>
        </w:rPr>
      </w:pPr>
      <w:r>
        <w:rPr>
          <w:rFonts w:eastAsia="Times New Roman" w:cs="Times New Roman"/>
          <w:b/>
          <w:bCs/>
          <w:spacing w:val="120"/>
          <w:sz w:val="16"/>
          <w:lang w:eastAsia="ru-RU" w:bidi="ar-SA"/>
        </w:rPr>
      </w:r>
    </w:p>
    <w:tbl>
      <w:tblPr>
        <w:tblW w:w="9000" w:type="dxa"/>
        <w:jc w:val="left"/>
        <w:tblInd w:w="216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3960"/>
        <w:gridCol w:w="2340"/>
      </w:tblGrid>
      <w:tr>
        <w:trPr/>
        <w:tc>
          <w:tcPr>
            <w:tcW w:w="2700" w:type="dxa"/>
            <w:tcBorders/>
            <w:shd w:fill="auto" w:val="clear"/>
          </w:tcPr>
          <w:p>
            <w:pPr>
              <w:pStyle w:val="Style19"/>
              <w:widowControl/>
              <w:suppressAutoHyphens w:val="false"/>
              <w:ind w:right="-249" w:hanging="0"/>
              <w:textAlignment w:val="auto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От   27.10.2017 года                  </w:t>
            </w:r>
          </w:p>
        </w:tc>
        <w:tc>
          <w:tcPr>
            <w:tcW w:w="3960" w:type="dxa"/>
            <w:tcBorders/>
            <w:shd w:fill="auto" w:val="clear"/>
          </w:tcPr>
          <w:p>
            <w:pPr>
              <w:pStyle w:val="Style19"/>
              <w:widowControl/>
              <w:suppressAutoHyphens w:val="false"/>
              <w:jc w:val="center"/>
              <w:textAlignment w:val="auto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</w:r>
          </w:p>
        </w:tc>
        <w:tc>
          <w:tcPr>
            <w:tcW w:w="2340" w:type="dxa"/>
            <w:tcBorders/>
            <w:shd w:fill="auto" w:val="clear"/>
          </w:tcPr>
          <w:p>
            <w:pPr>
              <w:pStyle w:val="Style19"/>
              <w:widowControl/>
              <w:suppressAutoHyphens w:val="false"/>
              <w:textAlignment w:val="auto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         №  </w:t>
            </w: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77                   </w:t>
            </w:r>
          </w:p>
        </w:tc>
      </w:tr>
    </w:tbl>
    <w:p>
      <w:pPr>
        <w:pStyle w:val="Style19"/>
        <w:widowControl/>
        <w:suppressAutoHyphens w:val="false"/>
        <w:jc w:val="center"/>
        <w:textAlignment w:val="auto"/>
        <w:rPr>
          <w:rFonts w:eastAsia="Times New Roman" w:cs="Times New Roman"/>
          <w:b/>
          <w:b/>
          <w:bCs/>
          <w:lang w:eastAsia="ru-RU" w:bidi="ar-SA"/>
        </w:rPr>
      </w:pPr>
      <w:r>
        <w:rPr>
          <w:rFonts w:eastAsia="Times New Roman" w:cs="Times New Roman"/>
          <w:b/>
          <w:bCs/>
          <w:lang w:eastAsia="ru-RU" w:bidi="ar-SA"/>
        </w:rPr>
        <w:t>г. Никольск</w:t>
      </w:r>
    </w:p>
    <w:p>
      <w:pPr>
        <w:pStyle w:val="Style19"/>
        <w:widowControl/>
        <w:suppressAutoHyphens w:val="false"/>
        <w:textAlignment w:val="auto"/>
        <w:rPr/>
      </w:pPr>
      <w:bookmarkStart w:id="0" w:name="__UnoMark__55_2039346705"/>
      <w:bookmarkStart w:id="1" w:name="__UnoMark__35_2039346705"/>
      <w:bookmarkEnd w:id="0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3771900</wp:posOffset>
                </wp:positionH>
                <wp:positionV relativeFrom="paragraph">
                  <wp:posOffset>1264285</wp:posOffset>
                </wp:positionV>
                <wp:extent cx="114935" cy="114300"/>
                <wp:effectExtent l="0" t="0" r="0" b="0"/>
                <wp:wrapTopAndBottom/>
                <wp:docPr id="1" name="Прямоугольник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480" cy="113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оугольник 6" fillcolor="white" stroked="f" style="position:absolute;margin-left:297pt;margin-top:99.55pt;width:8.95pt;height:8.9pt;flip:x">
                <w10:wrap type="none"/>
                <v:fill o:detectmouseclick="t" type="solid" color2="black"/>
                <v:stroke color="#41719c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296545</wp:posOffset>
                </wp:positionV>
                <wp:extent cx="36830" cy="36830"/>
                <wp:effectExtent l="0" t="0" r="0" b="0"/>
                <wp:wrapTopAndBottom/>
                <wp:docPr id="2" name="Прямая соединительная линия 5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0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360" cy="34308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единительная линия 5" stroked="t" style="position:absolute;margin-left:0pt;margin-top:23.35pt;width:0pt;height:26.95pt" type="shapetype_32">
                <v:stroke color="black" weight="9360" joinstyle="round" endcap="flat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0</wp:posOffset>
                </wp:positionH>
                <wp:positionV relativeFrom="paragraph">
                  <wp:posOffset>296545</wp:posOffset>
                </wp:positionV>
                <wp:extent cx="36830" cy="36830"/>
                <wp:effectExtent l="0" t="0" r="0" b="0"/>
                <wp:wrapTopAndBottom/>
                <wp:docPr id="3" name="Прямая соединительная линия 4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343440" cy="3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Прямая соединительная линия 4" stroked="t" style="position:absolute;margin-left:0pt;margin-top:23.35pt;width:27pt;height:0pt" type="shapetype_32">
                <v:stroke color="black" weight="9360" joinstyle="round" endcap="flat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2628900</wp:posOffset>
                </wp:positionH>
                <wp:positionV relativeFrom="paragraph">
                  <wp:posOffset>296545</wp:posOffset>
                </wp:positionV>
                <wp:extent cx="36830" cy="36830"/>
                <wp:effectExtent l="0" t="0" r="0" b="0"/>
                <wp:wrapTopAndBottom/>
                <wp:docPr id="4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2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343080" cy="3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Прямая соединительная линия 3" stroked="t" style="position:absolute;margin-left:207pt;margin-top:23.35pt;width:26.95pt;height:0pt" type="shapetype_32">
                <v:stroke color="black" weight="9360" joinstyle="round" endcap="flat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2971800</wp:posOffset>
                </wp:positionH>
                <wp:positionV relativeFrom="paragraph">
                  <wp:posOffset>296545</wp:posOffset>
                </wp:positionV>
                <wp:extent cx="36830" cy="36830"/>
                <wp:effectExtent l="0" t="0" r="0" b="0"/>
                <wp:wrapTopAndBottom/>
                <wp:docPr id="5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3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360" cy="34308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Прямая соединительная линия 2" stroked="t" style="position:absolute;margin-left:234pt;margin-top:23.35pt;width:0pt;height:26.95pt" type="shapetype_32">
                <v:stroke color="black" weight="9360" joinstyle="round" endcap="flat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114300</wp:posOffset>
                </wp:positionH>
                <wp:positionV relativeFrom="paragraph">
                  <wp:posOffset>354965</wp:posOffset>
                </wp:positionV>
                <wp:extent cx="3201035" cy="999490"/>
                <wp:effectExtent l="0" t="0" r="0" b="0"/>
                <wp:wrapTopAndBottom/>
                <wp:docPr id="6" name="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99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Об утверждения Кодекса этики депутата Представительного Собрания Никольского муниципального района </w:t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Прямоугольник 1" fillcolor="white" stroked="f" style="position:absolute;margin-left:9pt;margin-top:27.95pt;width:251.95pt;height:78.6pt">
                <v:textbox>
                  <w:txbxContent>
                    <w:p>
                      <w:pPr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 xml:space="preserve">Об утверждения Кодекса этики депутата Представительного Собрания Никольского муниципального района </w:t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  <v:fill o:detectmouseclick="t" type="solid" color2="black"/>
                <v:stroke color="#41719c" weight="12600" joinstyle="miter" endcap="flat"/>
              </v:shape>
            </w:pict>
          </mc:Fallback>
        </mc:AlternateContent>
      </w:r>
      <w:r>
        <w:rPr>
          <w:rStyle w:val="Style14"/>
          <w:rFonts w:eastAsia="Times New Roman" w:cs="Times New Roman"/>
          <w:b/>
          <w:lang w:eastAsia="ru-RU" w:bidi="ar-SA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/>
      </w:pPr>
      <w:r>
        <w:rPr>
          <w:rStyle w:val="Style14"/>
          <w:sz w:val="28"/>
          <w:szCs w:val="28"/>
        </w:rPr>
        <w:t xml:space="preserve">    </w:t>
      </w:r>
      <w:r>
        <w:rPr>
          <w:rStyle w:val="Style14"/>
          <w:sz w:val="28"/>
          <w:szCs w:val="28"/>
        </w:rPr>
        <w:tab/>
      </w:r>
      <w:r>
        <w:rPr>
          <w:rStyle w:val="Style14"/>
          <w:sz w:val="28"/>
        </w:rPr>
        <w:t xml:space="preserve">В соответствии с Федеральным </w:t>
      </w:r>
      <w:hyperlink r:id="rId4" w:tgtFrame="_top">
        <w:r>
          <w:rPr>
            <w:rStyle w:val="Style16"/>
            <w:sz w:val="28"/>
          </w:rPr>
          <w:t>законом</w:t>
        </w:r>
      </w:hyperlink>
      <w:r>
        <w:rPr>
          <w:rStyle w:val="Style14"/>
          <w:sz w:val="28"/>
        </w:rPr>
        <w:t xml:space="preserve"> от 6 октября 2003 года N 131-ФЗ "Об общих принципах организации местного самоуправления в Российской Федерации", Уставом  Никольского муниципального района, Представительное Собрание Никольского муниципального района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Кодекс этики депутата Представительного Собрания Никольского муниципального района (прилагается).</w:t>
      </w:r>
    </w:p>
    <w:p>
      <w:pPr>
        <w:pStyle w:val="Normal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 решение вступает в силу после его официального опубликования в районной газете «Авангард» и подлежит размещению в информационно-телекоммуникационной сети «Интернет».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Никольского муниципального района                                          В. В. Панов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>УТВЕРЖДЕН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решением Представительного Собрания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Никольского муниципального района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от  27.10.2017  № 77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КОДЕКС ЭТИКИ ДЕПУТАТА ПРЕДСТАВИТЕЛЬНОГО СОБРАНИЯ НИКОЛЬСКОГО МУНИЦИПАЛЬНОГО РАЙОНА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Кодекс этики депутата Представительного Собрания Никольского муниципального района  направлен на содействие эффективной нормотворческой деятельности, определение моральных принципов и основных правил поведения, обязательных для депутата Представительного Собрания Никольского муниципального района при исполнении им своих депутатских полномочий.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Кодекс призван обеспечить уважение к депутатам, а также устанавливает порядок разрешения возможных этических конфликтов между депутатами и меры ответственности за нарушение этических норм и требований, предусмотренных Кодексом.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Депутат осуществляет свою деятельность в соответствии с Конституцией Российской Федерации, федеральными законами, законами Вологодской области, Уставом Никольского муниципального района и настоящим Кодексом.</w:t>
      </w:r>
    </w:p>
    <w:p>
      <w:pPr>
        <w:pStyle w:val="Normal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Депутатская этика — это совокупность основных моральных и нравственных норм поведения депутатов при осуществлении ими депутатских  полномочий.</w:t>
      </w:r>
    </w:p>
    <w:p>
      <w:pPr>
        <w:pStyle w:val="Normal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основе деятельности депутата лежит соблюдение следующих принципов: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приоритет прав и свобод человека и гражданина;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защита интересов муниципального образования;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выражение интересов своих избирателей;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гласность депутатской деятельности;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объективность;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законов;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следование номам морали и нравственности, честности и порядочности.</w:t>
      </w:r>
    </w:p>
    <w:p>
      <w:pPr>
        <w:pStyle w:val="Normal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Депутаты по своему статусу имеют равные права и несут равные обязанности.</w:t>
      </w:r>
    </w:p>
    <w:p>
      <w:pPr>
        <w:pStyle w:val="Normal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Каждый депутат должен стремиться служить образцом исполнения своих депутатских полномочий.</w:t>
      </w:r>
    </w:p>
    <w:p>
      <w:pPr>
        <w:pStyle w:val="Normal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должен воздерживаться от всякой деятельности и поступков, которые могут нанести ущерб его авторитету, авторитету представительного органа и муниципального образования в целом. Депутат должен в равной мере соблюдать собственное достоинство и уважать достоинство других депутатов, должностных лиц и граждан.   </w:t>
      </w:r>
    </w:p>
    <w:p>
      <w:pPr>
        <w:pStyle w:val="Normal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Депутат должен воздерживаться от действий, заявлений и поступков, способных скомпроментировать его самого, представляемых им избирателей, представительного органа.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2. Положения Кодекса этики депутата,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относящиеся к деятельности депутата.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2.1. Каждый депутат содействует созданию в Представительном Собрании района атмосферы доброжелательности, взаимной поддержки и делового сотрудничества.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2.2. Взаимоотношения между депутатами строятся на основе равноправия и уважительного отношения к другим депутатам независимо от их политической принадлежности.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Депутат должен строить работу на принципах свободного коллективного обсуждения, уважения к многообразию мнений, не допускать конфликтов, искать пути преодоления разногласий среди депутатов путем дискуссии.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2.4. Депутат обязан всесторонне  учитывать мнения других депутатов и интересы избирателей перед принятием решений. Депутат не может навязывать свою позицию посредством угроз, ультиматумов и иных подобных методов.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2.5. Депутат обязан участвовать в работе Представительного Собрания района   и постоянных комиссий, добросовестно выполнять поручения Представительного Собрания района, постоянных комиссий, данные в пределах их компетенции.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2.6. Депутат должен присутствовать на всех заседаниях представительного органа, постоянных комиссий, членом которых он является. Отсутствие депутата на заседаниях допускается только по уважительным причинам (болезнь, отпуск, командировка и т. д.). О своем отсутствии депутат заблаговременно информирует  Главу района, либо, при его отсутствии, заместителя председателя представительного органа с указанием причин отсутствия.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2.7. Участвуя в заседаниях представительного органа и постоянных комиссий, депутаты должны следовать принятому ими порядку работы в соответствии с Регламентом Представительного Собрания Никольского муниципального района   не допускать индивидуальные и коллективные действия депутатов, направленные на срыв проведения заседаний: уход из зала заседания по другим мотивам, не признанными уважительными; выступления не по вопросу повестки сессии, выкрики, прерывание выступающих, создание препятствий для выступающих, которым председательствующий на заседании предоставил слово.</w:t>
      </w:r>
    </w:p>
    <w:p>
      <w:pPr>
        <w:pStyle w:val="Normal"/>
        <w:jc w:val="both"/>
        <w:rPr/>
      </w:pPr>
      <w:r>
        <w:rPr>
          <w:rStyle w:val="Style14"/>
          <w:sz w:val="28"/>
          <w:szCs w:val="28"/>
        </w:rPr>
        <w:t xml:space="preserve">2.8. Выступающий на заседании депутат не вправе употреблять в своей речи грубые, оскорбительные выражения, </w:t>
      </w:r>
      <w:r>
        <w:rPr>
          <w:rStyle w:val="Style14"/>
          <w:sz w:val="28"/>
        </w:rPr>
        <w:t>наносящие</w:t>
      </w:r>
      <w:r>
        <w:rPr>
          <w:rStyle w:val="Style14"/>
          <w:sz w:val="28"/>
          <w:szCs w:val="28"/>
        </w:rPr>
        <w:t xml:space="preserve"> ущерб чести и достоинству граждан и должностных лиц, ненормативную лексику, призывать к незаконным действиям, допускать необоснованные обвинения.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2.9. Выступление на заседаниях представительного органа и постоянных комиссий допускается только с разрешения  председательствующего. Депутаты обязаны соблюдать требования председательствующего по обеспечению порядка и соблюдения требований Регламента Представительного Собрания Никольского муниципального района.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2.10. Депутат не может разглашать сведения, которые стали известны в связи с осуществлением депутатских полномочий, если эти сведения: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являлись предметом  рассмотрения на закрытых заседаниях представительного органа и постоянных комиссий;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относятся к охраняемой законом тайне личной жизни депутата и стали известны в связи с рассмотрением вопроса  о нарушении депутатом настоящего Кодекса;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составляют тайну личной жизни избирателя или иного лица и доверены депутату при условии их неразглашения.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   Положения Кодекса этики депутата, относящиеся к взаимоотношениям депутата с избирателями.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3.1.     Взаимоотношения депутата с избирателями должны строиться на основе вежливости, взаимного уважения и ответственности.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3.2. Депутат несет моральную ответственность перед своими избирателями за обещания, данные им в период предвыборной кампании.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3.3. Депутат обязан своевременно отвечать на обращения избирателей, внимательно изучать поступившие от них предложения, заявления и жалобы.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3.4. Депутат не может давать публичные обещания, которые заведомо не могут быть выполнены.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3.5. При проведении приема избирателей, встреч с ними депутату необходимо учитывать, чтобы дата, время и место встреч для обращения были удобны для избирателей.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Депутат должен представлять избирателям полную, объективную и достоверную информацию о своей деятельности, отчитываться перед своими избирателями, периодически информируя их о своей работе через средства массовой информации.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3.7. Депутат, представляя интересы своих избирателей, проявляет уважение, терпимость,  выдержку и корректность.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3.8. При личном обращении с избирателями  депутат должен стремиться быть образцом профессионализма, порядочности и справедливости.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4. Этика публичных выступлений депутата.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4.1. Депутат,  выступая в средствах массовой информации, на собраниях, митингах и иных массовых мероприятиях, перед коллективами граждан с публичными заявлениями, комментируя деятельность государственных, муниципальных и общественных органов, организаций, должностных лиц, обязан использовать только достоверную информацию.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4.2. В случае использования в публичных выступлениях и заявлениях недостоверных фактов, а также унижения чести и достоинства граждан, должностных лиц, деловой репутации юридических лиц депутат обязан публично признать некорректность своих высказываний, принести извинения органам и лицам, чьи честь и достоинство были затронуты или юридическому лицу, деловая репутация которого была нарушена.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4.3. Депутат может выступать от имени представительного органа лишь в случаях, если он официально уполномочен выражать мнение представительного органа.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6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Финансовые и имущественные требования.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Депутат не вправе использовать свой статус в личных целях, а  также для деятельности, не связанной с исполнением депутатских полномочий.</w:t>
      </w:r>
    </w:p>
    <w:p>
      <w:pPr>
        <w:pStyle w:val="Normal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Депутат не вправе использовать в целях, не связанных с осуществлением депутатской деятельности, имущество, в том числе транспортные средства, средства связи, оргтехнику, другое имущество, предоставленное  ему для выполнения депутатских обязанностей.</w:t>
      </w:r>
    </w:p>
    <w:p>
      <w:pPr>
        <w:pStyle w:val="Normal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Депутаты при осуществлении депутатской деятельности не должны совершать действий от имени и в интересах частных имущественных и финансовых интересов.</w:t>
      </w:r>
    </w:p>
    <w:p>
      <w:pPr>
        <w:pStyle w:val="Normal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Депутат не вправе получать материальное вознаграждение за содействие принятию решений представительного органа в интересах юридических (независимо от формы собственности) и физических лиц.</w:t>
      </w:r>
    </w:p>
    <w:p>
      <w:pPr>
        <w:pStyle w:val="Normal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получение депутатом от физических и юридических лиц не предусмотренных законом услуг, льгот и привилегий.</w:t>
      </w:r>
    </w:p>
    <w:p>
      <w:pPr>
        <w:pStyle w:val="Normal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Недопустимо использовать статус депутата для рекламы деятельности каких-либо организаций, а также выпускаемой ими продукции.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4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депутатом получаемой информации.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1"/>
          <w:numId w:val="7"/>
        </w:numPr>
        <w:jc w:val="both"/>
        <w:rPr/>
      </w:pPr>
      <w:r>
        <w:rPr>
          <w:rStyle w:val="Style14"/>
          <w:sz w:val="28"/>
          <w:szCs w:val="28"/>
        </w:rPr>
        <w:t xml:space="preserve">Депутат </w:t>
      </w:r>
      <w:r>
        <w:rPr>
          <w:rStyle w:val="Style14"/>
          <w:sz w:val="28"/>
        </w:rPr>
        <w:t>не вправе</w:t>
      </w:r>
      <w:r>
        <w:rPr>
          <w:rStyle w:val="Style14"/>
          <w:sz w:val="28"/>
          <w:szCs w:val="28"/>
        </w:rPr>
        <w:t xml:space="preserve"> использовать информацию, ставшую ему известной в связи с исполнением депутатских полномочий, для извлечения личной выгоды.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3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рассмотрения вопросов, связанных с нарушением настоящего Кодекса.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вопросов, связанных с нарушением настоящего Кодекса, осуществляется непосредственно представительным органом.</w:t>
      </w:r>
    </w:p>
    <w:p>
      <w:pPr>
        <w:pStyle w:val="Normal"/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Представительный орган рассматривает случаи нарушения настоящего Кодекса: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по письменному заявлению (обращению), поданному в представительный орган избирателем, депутатом (их группой), иными лицами;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на основании информации прокуратуры, правоохранительных органов, органов государственной власти и местного самоуправления.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Рассмотрение обращения, информации осуществляется не позднее 30 дней со дня регистрации.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Допускается объединение нескольких заявлений (обращений), информаций о привлечении  одного и того же депутата к ответственности в одно рассмотрение.</w:t>
      </w:r>
    </w:p>
    <w:p>
      <w:pPr>
        <w:pStyle w:val="Normal"/>
        <w:numPr>
          <w:ilvl w:val="1"/>
          <w:numId w:val="9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 представительного органа по рассмотрению обращения (заявления), информации должен быть приглашен депутат, действия которого являются предметом рассмотрения, заявители и другие лица, информация которых может помочь выяснить все необходимые обстоятельства и принять объективное решение. Отсутствие указанных лиц, надлежащим образом извещенных о времени и месте заседания, не препятствует рассмотрению вопроса о привлечении депутата к ответственности за нарушение настоящего Кодекса по существу.</w:t>
      </w:r>
    </w:p>
    <w:p>
      <w:pPr>
        <w:pStyle w:val="Style19"/>
        <w:ind w:firstLine="709"/>
        <w:rPr/>
      </w:pPr>
      <w:r>
        <w:rPr>
          <w:rStyle w:val="Style14"/>
          <w:sz w:val="28"/>
        </w:rPr>
        <w:t>7.4.На заседании представительного органа председательствующий: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оглашает письменное обращение, информацию, заслушивает в случае необходимости заявителей, представителей прокуратуры, правоохранительных органов, органов государственной власти и органов местного самоуправления, заинтересованных лиц;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заслушивает депутата, допустившего нарушение настоящего Кодекса;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знакомится с документами, справками и другой необходимой официальной информацией.</w:t>
      </w:r>
    </w:p>
    <w:p>
      <w:pPr>
        <w:pStyle w:val="Normal"/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заявления (обращения), информации представительный орган вправе применить к нарушителю настоящего Кодекса меры воздействия: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вынести депутату моральное осуждение;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рекомендовать депутату принять меры по исключению случаев нарушений норм и правил  этики.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При совершении  депутатом проступка, порочащего честь и достоинство депутата, подрывающего авторитет представительного органа, возможно информирование средств массовой информации и избирателей о позиции представительного органа по данному вопросу.</w:t>
      </w:r>
    </w:p>
    <w:p>
      <w:pPr>
        <w:pStyle w:val="Normal"/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рассмотрения сообщается лицу, подавшему обращение, направившему информацию, депутату, действия которого рассматривались.</w:t>
      </w:r>
    </w:p>
    <w:p>
      <w:pPr>
        <w:pStyle w:val="Normal"/>
        <w:numPr>
          <w:ilvl w:val="1"/>
          <w:numId w:val="10"/>
        </w:numPr>
        <w:jc w:val="both"/>
        <w:rPr/>
      </w:pPr>
      <w:r>
        <w:rPr>
          <w:rStyle w:val="Style14"/>
          <w:sz w:val="28"/>
          <w:szCs w:val="28"/>
        </w:rPr>
        <w:t>Действия (бездействия), решения представительного органа по вопросу нарушения депутатской этики могут быть обжалованы в судебном порядке.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5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6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7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4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ru-RU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character" w:styleId="Style14">
    <w:name w:val="Основной шрифт абзаца"/>
    <w:qFormat/>
    <w:rPr/>
  </w:style>
  <w:style w:type="character" w:styleId="Style15">
    <w:name w:val="Символ нумерации"/>
    <w:qFormat/>
    <w:rPr/>
  </w:style>
  <w:style w:type="character" w:styleId="Style16">
    <w:name w:val="Гиперссылка"/>
    <w:basedOn w:val="Style14"/>
    <w:qFormat/>
    <w:rPr>
      <w:color w:val="0563C1"/>
      <w:u w:val="single"/>
    </w:rPr>
  </w:style>
  <w:style w:type="character" w:styleId="Style17">
    <w:name w:val="Текст выноски Знак"/>
    <w:basedOn w:val="Style14"/>
    <w:qFormat/>
    <w:rPr>
      <w:rFonts w:ascii="Segoe UI" w:hAnsi="Segoe UI"/>
      <w:sz w:val="18"/>
      <w:szCs w:val="16"/>
    </w:rPr>
  </w:style>
  <w:style w:type="character" w:styleId="WWCharLFO9LVL2">
    <w:name w:val="WW_CharLFO9LVL2"/>
    <w:qFormat/>
    <w:rPr>
      <w:sz w:val="28"/>
      <w:szCs w:val="28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Обычный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20">
    <w:name w:val="Заголовок"/>
    <w:basedOn w:val="Normal"/>
    <w:next w:val="Style21"/>
    <w:qFormat/>
    <w:pPr>
      <w:keepNext/>
      <w:suppressAutoHyphens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Style21">
    <w:name w:val="Основной текст"/>
    <w:basedOn w:val="Normal"/>
    <w:pPr>
      <w:suppressAutoHyphens w:val="true"/>
      <w:spacing w:before="0" w:after="120"/>
    </w:pPr>
    <w:rPr/>
  </w:style>
  <w:style w:type="paragraph" w:styleId="Style22">
    <w:name w:val="Список"/>
    <w:basedOn w:val="Style21"/>
    <w:pPr>
      <w:suppressAutoHyphens w:val="true"/>
    </w:pPr>
    <w:rPr/>
  </w:style>
  <w:style w:type="paragraph" w:styleId="Style23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4">
    <w:name w:val="Указатель"/>
    <w:basedOn w:val="Normal"/>
    <w:qFormat/>
    <w:pPr>
      <w:suppressLineNumbers/>
      <w:suppressAutoHyphens w:val="true"/>
    </w:pPr>
    <w:rPr/>
  </w:style>
  <w:style w:type="paragraph" w:styleId="Style25">
    <w:name w:val="Текст выноски"/>
    <w:basedOn w:val="Style19"/>
    <w:qFormat/>
    <w:pPr>
      <w:suppressAutoHyphens w:val="true"/>
    </w:pPr>
    <w:rPr>
      <w:rFonts w:ascii="Segoe UI" w:hAnsi="Segoe UI"/>
      <w:sz w:val="18"/>
      <w:szCs w:val="16"/>
    </w:rPr>
  </w:style>
  <w:style w:type="paragraph" w:styleId="Style26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yperlink" Target="consultantplus://offline/ref=90E13630904A896A5A6DA9CD24B74488CB3AC0BDF0F300FB13DD47D8BD696228CFA02A94FC5F06F247zAH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360</TotalTime>
  <Application>LibreOffice/5.0.3.2$Windows_x86 LibreOffice_project/e5f16313668ac592c1bfb310f4390624e3dbfb75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2017-07-07T12:10:00Z</dcterms:created>
  <dc:language>ru-RU</dc:language>
  <cp:lastModifiedBy>User</cp:lastModifiedBy>
  <cp:lastPrinted>2017-10-27T14:14:00Z</cp:lastPrinted>
  <dcterms:modified xsi:type="dcterms:W3CDTF">2017-10-27T14:15:00Z</dcterms:modified>
  <cp:revision>15</cp:revision>
</cp:coreProperties>
</file>