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35" w:rsidRDefault="00BB56EA">
      <w:pPr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Меры</w:t>
      </w:r>
      <w:r>
        <w:rPr>
          <w:rFonts w:ascii="Bradley Hand ITC" w:hAnsi="Bradley Hand ITC"/>
          <w:b/>
          <w:i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>
        <w:rPr>
          <w:rFonts w:ascii="Bradley Hand ITC" w:hAnsi="Bradley Hand ITC"/>
          <w:b/>
          <w:i/>
          <w:sz w:val="28"/>
        </w:rPr>
        <w:t xml:space="preserve"> </w:t>
      </w:r>
      <w:r>
        <w:rPr>
          <w:b/>
          <w:i/>
          <w:sz w:val="28"/>
        </w:rPr>
        <w:t>поддержки сельскохозяйственным</w:t>
      </w:r>
      <w:r>
        <w:rPr>
          <w:rFonts w:ascii="Bradley Hand ITC" w:hAnsi="Bradley Hand ITC"/>
          <w:b/>
          <w:i/>
          <w:sz w:val="28"/>
        </w:rPr>
        <w:t xml:space="preserve"> </w:t>
      </w:r>
      <w:r>
        <w:rPr>
          <w:b/>
          <w:i/>
          <w:sz w:val="28"/>
        </w:rPr>
        <w:t>товаропроизводителям в области растениеводства, предоставляемые Департаментом сельского хозяйства и продовольственных ресурсов области</w:t>
      </w:r>
      <w:r>
        <w:rPr>
          <w:rFonts w:ascii="Bradley Hand ITC" w:hAnsi="Bradley Hand ITC"/>
          <w:b/>
          <w:i/>
          <w:sz w:val="28"/>
        </w:rPr>
        <w:t xml:space="preserve"> </w:t>
      </w:r>
    </w:p>
    <w:p w:rsidR="001E7435" w:rsidRDefault="001E7435">
      <w:pPr>
        <w:jc w:val="center"/>
        <w:rPr>
          <w:b/>
          <w:i/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8363"/>
        <w:gridCol w:w="3260"/>
      </w:tblGrid>
      <w:tr w:rsidR="001E7435">
        <w:trPr>
          <w:trHeight w:val="37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435" w:rsidRDefault="00BB56E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Название меры поддержки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435" w:rsidRDefault="00BB56E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 что предоставляется и объем поддержки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435" w:rsidRDefault="00BB56E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Источник информации</w:t>
            </w:r>
          </w:p>
        </w:tc>
      </w:tr>
      <w:tr w:rsidR="001E7435">
        <w:trPr>
          <w:trHeight w:val="81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>На уплату страховой премии, начисленной по договорам сельскохозяйственного страхования в области растениеводства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Возмещаются  затраты на уплату страховой премии, начисленной по договорам сельскохозяйственного страхования;</w:t>
            </w:r>
          </w:p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размер возмещ</w:t>
            </w:r>
            <w:r>
              <w:rPr>
                <w:sz w:val="22"/>
              </w:rPr>
              <w:t>ения -  от 50 до 80%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  <w:rPr>
                <w:sz w:val="16"/>
              </w:rPr>
            </w:pPr>
            <w:hyperlink r:id="rId7" w:history="1">
              <w:r>
                <w:rPr>
                  <w:color w:val="0000FF"/>
                  <w:sz w:val="16"/>
                  <w:u w:val="single"/>
                </w:rPr>
                <w:t>https://agro.gov35.ru/podderzhka-selkhoztovaroproizvoditeley/rastenievodstvo/vozmeshchenie-chasti-zatrat/</w:t>
              </w:r>
            </w:hyperlink>
          </w:p>
          <w:p w:rsidR="001E7435" w:rsidRDefault="001E7435">
            <w:pPr>
              <w:jc w:val="both"/>
              <w:rPr>
                <w:sz w:val="16"/>
              </w:rPr>
            </w:pPr>
          </w:p>
        </w:tc>
      </w:tr>
      <w:tr w:rsidR="001E7435">
        <w:trPr>
          <w:trHeight w:val="84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 </w:t>
            </w:r>
            <w:r>
              <w:rPr>
                <w:sz w:val="22"/>
              </w:rPr>
              <w:t>поддержку элитного семеноводства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На приобретение элитных семян сельскохозяйственных культур;</w:t>
            </w:r>
          </w:p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объем поддержки рассчитывается по ставке на 1 гектар плановой посевной площади текущего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  <w:rPr>
                <w:sz w:val="16"/>
              </w:rPr>
            </w:pPr>
            <w:hyperlink r:id="rId8" w:history="1">
              <w:r>
                <w:rPr>
                  <w:color w:val="0000FF"/>
                  <w:sz w:val="16"/>
                  <w:u w:val="single"/>
                </w:rPr>
                <w:t>https://agro.gov35.ru/podderzhka-selkhoztovaroproizvoditeley/rastenievodstvo/podderzhka-elitnogo-semenovodstva</w:t>
              </w:r>
            </w:hyperlink>
          </w:p>
        </w:tc>
      </w:tr>
      <w:tr w:rsidR="001E7435">
        <w:trPr>
          <w:trHeight w:val="82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>На поддержку семеноводства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На приобретение семян сельскохозяйственных культур;</w:t>
            </w:r>
          </w:p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поддержки рассчитывается по ставкам  исходя из плановых посевных площадей текущего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  <w:rPr>
                <w:sz w:val="16"/>
              </w:rPr>
            </w:pPr>
            <w:hyperlink r:id="rId9" w:history="1">
              <w:r>
                <w:rPr>
                  <w:color w:val="0000FF"/>
                  <w:sz w:val="16"/>
                  <w:u w:val="single"/>
                </w:rPr>
                <w:t>https://agro.gov35.ru/podderzhka-selkhoztovaropr</w:t>
              </w:r>
              <w:r>
                <w:rPr>
                  <w:color w:val="0000FF"/>
                  <w:sz w:val="16"/>
                  <w:u w:val="single"/>
                </w:rPr>
                <w:t>oizvoditeley/rastenievodstvo/podderzhka-semenovodstva</w:t>
              </w:r>
            </w:hyperlink>
          </w:p>
        </w:tc>
      </w:tr>
      <w:tr w:rsidR="001E7435">
        <w:trPr>
          <w:trHeight w:val="104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>На поддержку проведения комплекса агротехнологических работ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На закупку агрохимикатов и горюче-смазочных материалов, используемых для выращивания зерновых, зернобобовых и кормовых культур;</w:t>
            </w:r>
          </w:p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</w:t>
            </w:r>
            <w:r>
              <w:rPr>
                <w:sz w:val="22"/>
              </w:rPr>
              <w:t>поддержки рассчитывается по ставкам на плановые посевные площади сельскохозяйственных культур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  <w:rPr>
                <w:sz w:val="16"/>
              </w:rPr>
            </w:pPr>
            <w:hyperlink r:id="rId10" w:history="1">
              <w:r>
                <w:rPr>
                  <w:color w:val="0000FF"/>
                  <w:sz w:val="16"/>
                  <w:u w:val="single"/>
                </w:rPr>
                <w:t>https://agro.</w:t>
              </w:r>
              <w:r>
                <w:rPr>
                  <w:color w:val="0000FF"/>
                  <w:sz w:val="16"/>
                  <w:u w:val="single"/>
                </w:rPr>
                <w:t>gov35.ru/podderzhka-selkhoztovaroproizvoditeley/rastenievodstvo/podderzhka-provedenie-kompleksa-agrotekhnologicheskikh-rabot</w:t>
              </w:r>
            </w:hyperlink>
          </w:p>
        </w:tc>
      </w:tr>
      <w:tr w:rsidR="001E7435">
        <w:trPr>
          <w:trHeight w:val="71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>На агрохимическое и эколого-токсикологическое обследование земель сельскохозяйственного назначения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Возмещаются  затраты по </w:t>
            </w:r>
            <w:r>
              <w:rPr>
                <w:sz w:val="22"/>
              </w:rPr>
              <w:t>агрохимическому и эколого-токсикологическому обследованию земель сельскохозяйственного назначения;</w:t>
            </w:r>
          </w:p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размер возмещения - 70% фактических затрат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  <w:rPr>
                <w:sz w:val="16"/>
              </w:rPr>
            </w:pPr>
            <w:hyperlink r:id="rId11" w:history="1">
              <w:r>
                <w:rPr>
                  <w:color w:val="0000FF"/>
                  <w:sz w:val="16"/>
                  <w:u w:val="single"/>
                </w:rPr>
                <w:t>https://agro.gov35.ru/podderzhka-selkhoztovaroproizvoditeley/rastenievodstvo/vozmeshchenie-chasti-zatrat-na-agrokhimicheskoe-i-ekologo-toksikologicheskoe-obsledovanie-zemel-sels</w:t>
              </w:r>
            </w:hyperlink>
          </w:p>
        </w:tc>
      </w:tr>
      <w:tr w:rsidR="001E7435">
        <w:trPr>
          <w:trHeight w:val="71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>На  поддержку  производства технических культур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На производство льна-долгунца и технической конопли;</w:t>
            </w:r>
          </w:p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объем поддержки рассчитывается по ставкам на плановые посевные площади технических культур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  <w:rPr>
                <w:sz w:val="16"/>
              </w:rPr>
            </w:pPr>
            <w:hyperlink r:id="rId12" w:history="1">
              <w:r>
                <w:rPr>
                  <w:color w:val="0000FF"/>
                  <w:sz w:val="16"/>
                  <w:u w:val="single"/>
                </w:rPr>
                <w:t>https://agro.gov35.ru/podderzhka-selkhoztovaroproizvoditeley/rastenievodstvo/podderzhka-proizvodstva-tekhnicheskikh-kultur</w:t>
              </w:r>
            </w:hyperlink>
          </w:p>
        </w:tc>
      </w:tr>
      <w:tr w:rsidR="001E7435">
        <w:trPr>
          <w:trHeight w:val="90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 приобретение энергоносителей в овощеводстве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Возмещаютс</w:t>
            </w:r>
            <w:r>
              <w:rPr>
                <w:sz w:val="22"/>
              </w:rPr>
              <w:t>я  затраты на приобретение энергоносителей в овощеводстве защищенного грунта;</w:t>
            </w:r>
          </w:p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размер возмещения - 20% фактических затрат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  <w:rPr>
                <w:sz w:val="16"/>
              </w:rPr>
            </w:pPr>
            <w:hyperlink r:id="rId13" w:history="1">
              <w:r>
                <w:rPr>
                  <w:color w:val="0000FF"/>
                  <w:sz w:val="16"/>
                  <w:u w:val="single"/>
                </w:rPr>
                <w:t>https://agro.gov35.ru/podderzhka-selkhoztovaroproizvoditeley/rastenievodstvo/vozmeshchenie-chasti-zatrat-na-priobretenie-energonositeley-v-ovoshchevodstve</w:t>
              </w:r>
            </w:hyperlink>
          </w:p>
        </w:tc>
      </w:tr>
      <w:tr w:rsidR="001E7435">
        <w:trPr>
          <w:trHeight w:val="7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>На поддержку производства картофеля и овощей открытого грунта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 </w:t>
            </w:r>
            <w:r>
              <w:rPr>
                <w:sz w:val="22"/>
              </w:rPr>
              <w:t>производство картофеля и овощей открытого грунта (капусты, моркови, свеклы, зеленных культур);</w:t>
            </w:r>
          </w:p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объем поддержки рассчитывается по ставкам на плановый объем производства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  <w:rPr>
                <w:color w:val="454545"/>
                <w:sz w:val="16"/>
              </w:rPr>
            </w:pPr>
            <w:hyperlink r:id="rId14" w:history="1">
              <w:r>
                <w:rPr>
                  <w:color w:val="0000FF"/>
                  <w:sz w:val="16"/>
                  <w:u w:val="single"/>
                </w:rPr>
                <w:t>https://agro.gov35.ru/podderzhka-selkhoztovaroproizvoditeley/rastenievodstvo/podderzhka-proizvodstva-kartofelya-i-ovoshchey-otkrytogo-grunta</w:t>
              </w:r>
            </w:hyperlink>
          </w:p>
        </w:tc>
      </w:tr>
      <w:tr w:rsidR="001E7435">
        <w:trPr>
          <w:trHeight w:val="117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</w:pPr>
            <w:r>
              <w:rPr>
                <w:sz w:val="22"/>
              </w:rPr>
              <w:t xml:space="preserve">На поддержку элитного семеноводства для </w:t>
            </w:r>
            <w:r>
              <w:rPr>
                <w:sz w:val="22"/>
              </w:rPr>
              <w:t>производства картофеля и овощных культур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На приобретение элитных и (или) оригинальных семян сельскохозяйственных культур - картофеля и овощных культур, включая гибриды овощных культур;</w:t>
            </w:r>
          </w:p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объем поддержки рассчитывается по ставкам на планируемый объем приобрет</w:t>
            </w:r>
            <w:r>
              <w:rPr>
                <w:sz w:val="22"/>
              </w:rPr>
              <w:t>ения семян, исходя из площади посева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  <w:rPr>
                <w:color w:val="454545"/>
                <w:sz w:val="16"/>
              </w:rPr>
            </w:pPr>
            <w:hyperlink r:id="rId15" w:history="1">
              <w:r>
                <w:rPr>
                  <w:color w:val="0000FF"/>
                  <w:sz w:val="16"/>
                  <w:u w:val="single"/>
                </w:rPr>
                <w:t>https://agro.gov35.ru/podderzhka-s</w:t>
              </w:r>
              <w:r>
                <w:rPr>
                  <w:color w:val="0000FF"/>
                  <w:sz w:val="16"/>
                  <w:u w:val="single"/>
                </w:rPr>
                <w:t>elkhoztovaroproizvoditeley/rastenievodstvo/podderzhka-elitnogo-semenovodstva-v-ramkakh-stimulirovaniya-proizvodstva-kartofelya-i-ovoshchey-</w:t>
              </w:r>
            </w:hyperlink>
          </w:p>
        </w:tc>
      </w:tr>
      <w:tr w:rsidR="001E7435">
        <w:trPr>
          <w:trHeight w:val="50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Название меры поддержки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 что предоставляется и объем поддержки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Источник информации</w:t>
            </w:r>
          </w:p>
        </w:tc>
      </w:tr>
      <w:tr w:rsidR="001E7435">
        <w:trPr>
          <w:trHeight w:val="50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 закладку и уход за </w:t>
            </w:r>
            <w:r>
              <w:rPr>
                <w:sz w:val="22"/>
              </w:rPr>
              <w:t>многолетними плодовыми и ягодными насаждениями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На закладку и (или) уход за многолетними плодовыми и ягодными насаждениями;</w:t>
            </w:r>
          </w:p>
          <w:p w:rsidR="001E7435" w:rsidRDefault="00BB56EA">
            <w:pPr>
              <w:ind w:firstLine="274"/>
              <w:jc w:val="both"/>
              <w:rPr>
                <w:sz w:val="22"/>
              </w:rPr>
            </w:pPr>
            <w:r>
              <w:rPr>
                <w:sz w:val="22"/>
              </w:rPr>
              <w:t>объем поддержки  - до 80% от фактических затрат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  <w:rPr>
                <w:color w:val="0000FF"/>
                <w:sz w:val="16"/>
                <w:u w:val="single"/>
              </w:rPr>
            </w:pPr>
            <w:hyperlink r:id="rId16" w:history="1">
              <w:r>
                <w:rPr>
                  <w:color w:val="0000FF"/>
                  <w:sz w:val="16"/>
                  <w:u w:val="single"/>
                </w:rPr>
                <w:t>https://agro.gov35.ru/podderzhka-selkhoztovaroproizvoditeley/rastenievodstvo/zakladka-i-ukhod-za-mnogoletnimi-plodovymi-i-yagodnymi-nasazhdeniyami</w:t>
              </w:r>
            </w:hyperlink>
          </w:p>
        </w:tc>
      </w:tr>
      <w:tr w:rsidR="001E7435">
        <w:trPr>
          <w:trHeight w:val="77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>На производство и реализацию зер</w:t>
            </w:r>
            <w:r>
              <w:rPr>
                <w:sz w:val="22"/>
              </w:rPr>
              <w:t>новых культур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Возмещаются  затраты, связанные с производством и реализацией зерновых культур;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поддержки рассчитывается по ставке на реализацию 1 тонны произведенных зерновых культур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  <w:rPr>
                <w:color w:val="0000FF"/>
                <w:sz w:val="16"/>
                <w:u w:val="single"/>
              </w:rPr>
            </w:pPr>
            <w:hyperlink r:id="rId17" w:history="1">
              <w:r>
                <w:rPr>
                  <w:color w:val="0000FF"/>
                  <w:sz w:val="16"/>
                  <w:u w:val="single"/>
                </w:rPr>
                <w:t>https://agro.gov35.ru/podderzhka-selkhoztovaroproizvoditeley/rastenievodstvo/vozmeshchenie-proizvoditelyam-zernovykh-kultur-chasti-za</w:t>
              </w:r>
              <w:r>
                <w:rPr>
                  <w:color w:val="0000FF"/>
                  <w:sz w:val="16"/>
                  <w:u w:val="single"/>
                </w:rPr>
                <w:t>trat-na-proizvodstvo-i-realizatsiyu-zernovykh</w:t>
              </w:r>
            </w:hyperlink>
          </w:p>
        </w:tc>
      </w:tr>
      <w:tr w:rsidR="001E7435">
        <w:trPr>
          <w:trHeight w:val="355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>На реализацию мероприятий по мелиорации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1.возмещаются  затраты на проведение культуртехнических мероприятий;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размер возмещения - до 70% фактических затрат;</w:t>
            </w:r>
          </w:p>
          <w:p w:rsidR="001E7435" w:rsidRDefault="001E7435">
            <w:pPr>
              <w:ind w:firstLine="317"/>
              <w:jc w:val="both"/>
              <w:rPr>
                <w:sz w:val="16"/>
              </w:rPr>
            </w:pPr>
          </w:p>
          <w:p w:rsidR="001E7435" w:rsidRDefault="001E7435">
            <w:pPr>
              <w:ind w:firstLine="317"/>
              <w:jc w:val="both"/>
              <w:rPr>
                <w:sz w:val="22"/>
              </w:rPr>
            </w:pP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 xml:space="preserve">2.возмещаются  затраты на проведение </w:t>
            </w:r>
            <w:r>
              <w:rPr>
                <w:sz w:val="22"/>
              </w:rPr>
              <w:t xml:space="preserve">гидромелиоративных мероприятий; 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размер возмещения - до 70% фактических затрат;</w:t>
            </w:r>
          </w:p>
          <w:p w:rsidR="001E7435" w:rsidRDefault="001E7435">
            <w:pPr>
              <w:ind w:firstLine="317"/>
              <w:jc w:val="both"/>
              <w:rPr>
                <w:sz w:val="18"/>
              </w:rPr>
            </w:pPr>
          </w:p>
          <w:p w:rsidR="001E7435" w:rsidRDefault="001E7435">
            <w:pPr>
              <w:ind w:firstLine="317"/>
              <w:jc w:val="both"/>
              <w:rPr>
                <w:sz w:val="16"/>
              </w:rPr>
            </w:pP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3. возмещаются  затраты на известкование кислых почв, на разработку проектной документации на проведение мероприятий в области известкования кислых почв, на приобретение и тр</w:t>
            </w:r>
            <w:r>
              <w:rPr>
                <w:sz w:val="22"/>
              </w:rPr>
              <w:t>анспортировку известковых мелиорантов почвы; проведение технологических работ по внесению известковых мелиорантов;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размер возмещения - до 70% фактических затрат;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4.возмещаются  затраты по разработке проектно-сметной документации на строительство, реконстру</w:t>
            </w:r>
            <w:r>
              <w:rPr>
                <w:sz w:val="22"/>
              </w:rPr>
              <w:t>кцию, техническое перевооружение мелиоративных систем, гидротехнических сооружений и проведение культуртехнических мероприятий;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размер возмещения - до 70% фактических затрат;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  <w:rPr>
                <w:color w:val="0000FF"/>
                <w:sz w:val="16"/>
                <w:u w:val="single"/>
              </w:rPr>
            </w:pPr>
            <w:r>
              <w:rPr>
                <w:color w:val="0000FF"/>
                <w:sz w:val="16"/>
                <w:u w:val="single"/>
              </w:rPr>
              <w:t>1.</w:t>
            </w:r>
            <w:hyperlink r:id="rId18" w:history="1">
              <w:r>
                <w:rPr>
                  <w:color w:val="0000FF"/>
                  <w:sz w:val="16"/>
                  <w:u w:val="single"/>
                </w:rPr>
                <w:t>https://agro.gov35.ru/podderzhka-selkhoztovaroproizvoditeley/rastenievodstvo/realizatsiya-meropriyatiy-na-prove</w:t>
              </w:r>
              <w:r>
                <w:rPr>
                  <w:color w:val="0000FF"/>
                  <w:sz w:val="16"/>
                  <w:u w:val="single"/>
                </w:rPr>
                <w:t>denie-kulturtekhnicheskikh-rabot</w:t>
              </w:r>
            </w:hyperlink>
          </w:p>
          <w:p w:rsidR="001E7435" w:rsidRDefault="001E7435">
            <w:pPr>
              <w:jc w:val="both"/>
              <w:rPr>
                <w:color w:val="0000FF"/>
                <w:sz w:val="16"/>
                <w:u w:val="single"/>
              </w:rPr>
            </w:pPr>
          </w:p>
          <w:p w:rsidR="001E7435" w:rsidRDefault="00BB56EA">
            <w:pPr>
              <w:jc w:val="both"/>
              <w:rPr>
                <w:color w:val="0000FF"/>
                <w:sz w:val="16"/>
                <w:u w:val="single"/>
              </w:rPr>
            </w:pPr>
            <w:r>
              <w:rPr>
                <w:color w:val="0000FF"/>
                <w:sz w:val="16"/>
                <w:u w:val="single"/>
              </w:rPr>
              <w:t>2.</w:t>
            </w:r>
            <w:hyperlink r:id="rId19" w:history="1">
              <w:r>
                <w:rPr>
                  <w:color w:val="0000FF"/>
                  <w:sz w:val="16"/>
                  <w:u w:val="single"/>
                </w:rPr>
                <w:t>https://agro.gov35.ru/podderzhka-selkhoztovaroproizvodit</w:t>
              </w:r>
              <w:r>
                <w:rPr>
                  <w:color w:val="0000FF"/>
                  <w:sz w:val="16"/>
                  <w:u w:val="single"/>
                </w:rPr>
                <w:t>eley/rastenievodstvo/realizatsiya-meropriyatiy-na-provedenie-gidromeliorativnykh-meropriyatiy</w:t>
              </w:r>
            </w:hyperlink>
          </w:p>
          <w:p w:rsidR="001E7435" w:rsidRDefault="001E7435">
            <w:pPr>
              <w:jc w:val="both"/>
              <w:rPr>
                <w:color w:val="0000FF"/>
                <w:sz w:val="16"/>
                <w:u w:val="single"/>
              </w:rPr>
            </w:pPr>
          </w:p>
          <w:p w:rsidR="001E7435" w:rsidRDefault="00BB56EA">
            <w:pPr>
              <w:jc w:val="both"/>
              <w:rPr>
                <w:color w:val="0000FF"/>
                <w:sz w:val="16"/>
                <w:u w:val="single"/>
              </w:rPr>
            </w:pPr>
            <w:r>
              <w:rPr>
                <w:color w:val="0000FF"/>
                <w:sz w:val="16"/>
                <w:u w:val="single"/>
              </w:rPr>
              <w:t>3.</w:t>
            </w:r>
            <w:hyperlink r:id="rId20" w:history="1">
              <w:r>
                <w:rPr>
                  <w:color w:val="0000FF"/>
                  <w:sz w:val="16"/>
                  <w:u w:val="single"/>
                </w:rPr>
                <w:t>https://agro.gov35.ru/podderzhka-selkhoz</w:t>
              </w:r>
              <w:r>
                <w:rPr>
                  <w:color w:val="0000FF"/>
                  <w:sz w:val="16"/>
                  <w:u w:val="single"/>
                </w:rPr>
                <w:t>tovaroproizvoditeley/rastenievodstvo/izvestkovanie-kislykh-pochv</w:t>
              </w:r>
            </w:hyperlink>
          </w:p>
          <w:p w:rsidR="001E7435" w:rsidRDefault="001E7435">
            <w:pPr>
              <w:jc w:val="both"/>
              <w:rPr>
                <w:color w:val="0000FF"/>
                <w:sz w:val="16"/>
                <w:u w:val="single"/>
              </w:rPr>
            </w:pPr>
          </w:p>
          <w:p w:rsidR="001E7435" w:rsidRDefault="001E7435">
            <w:pPr>
              <w:jc w:val="both"/>
              <w:rPr>
                <w:color w:val="0000FF"/>
                <w:sz w:val="16"/>
                <w:u w:val="single"/>
              </w:rPr>
            </w:pPr>
          </w:p>
          <w:p w:rsidR="001E7435" w:rsidRDefault="001E7435">
            <w:pPr>
              <w:jc w:val="both"/>
              <w:rPr>
                <w:color w:val="0000FF"/>
                <w:sz w:val="16"/>
                <w:u w:val="single"/>
              </w:rPr>
            </w:pPr>
          </w:p>
          <w:p w:rsidR="001E7435" w:rsidRDefault="001E7435">
            <w:pPr>
              <w:jc w:val="both"/>
              <w:rPr>
                <w:color w:val="0000FF"/>
                <w:sz w:val="16"/>
                <w:u w:val="single"/>
              </w:rPr>
            </w:pPr>
          </w:p>
          <w:p w:rsidR="001E7435" w:rsidRDefault="00BB56EA">
            <w:pPr>
              <w:jc w:val="both"/>
              <w:rPr>
                <w:color w:val="0000FF"/>
                <w:sz w:val="16"/>
                <w:u w:val="single"/>
              </w:rPr>
            </w:pPr>
            <w:r>
              <w:rPr>
                <w:color w:val="0000FF"/>
                <w:sz w:val="16"/>
                <w:u w:val="single"/>
              </w:rPr>
              <w:t>4.</w:t>
            </w:r>
            <w:hyperlink r:id="rId21" w:history="1">
              <w:r>
                <w:rPr>
                  <w:color w:val="0000FF"/>
                  <w:sz w:val="16"/>
                  <w:u w:val="single"/>
                </w:rPr>
                <w:t>https://agro.gov35.ru/podderzhka-selkhoztovaroproizvoditeley/rastenievodstvo/vozmeshchenie-chasti-zatrat-po-razrabotke-proektno-smetnoy-dokumentatsii-na-stroitelstvo-rekonstrukts</w:t>
              </w:r>
            </w:hyperlink>
          </w:p>
        </w:tc>
      </w:tr>
      <w:tr w:rsidR="001E7435">
        <w:trPr>
          <w:trHeight w:val="69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 оформление в собственность используемых земельных участков из </w:t>
            </w:r>
            <w:r>
              <w:rPr>
                <w:sz w:val="22"/>
              </w:rPr>
              <w:t>земель сельскохозяйственного назначения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Возмещаются  затраты, возникшие при оформлении в собственность используемых земельных участков из земель сельскохозяйственного назначения;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поддержки рассчитывается по ставке за 1 га оформленных земельных </w:t>
            </w:r>
            <w:r>
              <w:rPr>
                <w:sz w:val="22"/>
              </w:rPr>
              <w:t>участков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  <w:rPr>
                <w:color w:val="0000FF"/>
                <w:sz w:val="16"/>
                <w:u w:val="single"/>
              </w:rPr>
            </w:pPr>
            <w:hyperlink r:id="rId22" w:history="1">
              <w:r>
                <w:rPr>
                  <w:color w:val="0000FF"/>
                  <w:sz w:val="16"/>
                  <w:u w:val="single"/>
                </w:rPr>
                <w:t>https://agro.gov35.ru/podderzhka-selkhoztovaroproizvoditel</w:t>
              </w:r>
              <w:r>
                <w:rPr>
                  <w:color w:val="0000FF"/>
                  <w:sz w:val="16"/>
                  <w:u w:val="single"/>
                </w:rPr>
                <w:t>ey/rastenievodstvo/vozmeshchenie-chasti-zatrat-selkhoztovaroproizvoditeley-krestyanskikh-fermerskikh-khozyaystv-vklyuch</w:t>
              </w:r>
            </w:hyperlink>
          </w:p>
          <w:p w:rsidR="001E7435" w:rsidRDefault="001E7435">
            <w:pPr>
              <w:jc w:val="both"/>
              <w:rPr>
                <w:color w:val="0000FF"/>
                <w:sz w:val="16"/>
                <w:u w:val="single"/>
              </w:rPr>
            </w:pPr>
          </w:p>
        </w:tc>
      </w:tr>
      <w:tr w:rsidR="001E7435">
        <w:trPr>
          <w:trHeight w:val="104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>На приобретение техники, машин и оборудования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Возмещаются затраты на приобретение сельскохозяйственной техники, машин и оборудовани</w:t>
            </w:r>
            <w:r>
              <w:rPr>
                <w:sz w:val="22"/>
              </w:rPr>
              <w:t xml:space="preserve">я 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Размер возмещения от 30 до 80 % в зависимости от вида приобретаемой техники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  <w:rPr>
                <w:color w:val="0000FF"/>
                <w:sz w:val="16"/>
                <w:u w:val="single"/>
              </w:rPr>
            </w:pPr>
            <w:hyperlink r:id="rId23" w:history="1">
              <w:r>
                <w:rPr>
                  <w:color w:val="0000FF"/>
                  <w:sz w:val="16"/>
                  <w:u w:val="single"/>
                </w:rPr>
                <w:t>https://agro.gov35.ru/podderzhka-selkhoztovaroproizvoditeley/modernizatsiya-i-realizatsiya-investitsionnykh-proektov/vozmeshchenie-chasti-zatrat-na-priobretenie-tekhniki-mashin-i-oborudovaniya</w:t>
              </w:r>
            </w:hyperlink>
          </w:p>
        </w:tc>
      </w:tr>
      <w:tr w:rsidR="001E7435">
        <w:trPr>
          <w:trHeight w:val="98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>На строительство, реконструкцию,</w:t>
            </w:r>
            <w:r>
              <w:rPr>
                <w:sz w:val="22"/>
              </w:rPr>
              <w:t xml:space="preserve"> модернизацию объектов АПК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Возмещаются  затраты на строительство, реконструкцию, модернизацию объектов АПК;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Размер возмещения - до 80%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both"/>
            </w:pPr>
            <w:hyperlink r:id="rId24" w:history="1">
              <w:r>
                <w:rPr>
                  <w:color w:val="0000FF"/>
                  <w:sz w:val="16"/>
                  <w:u w:val="single"/>
                </w:rPr>
                <w:t>https://agro.gov35.ru/podderzhka-selkhoztovaroproizvoditeley/modernizatsiya-i-realizatsiya-investitsionnykh-proektov/vozmeshchenie-chasti-zatrat-na-</w:t>
              </w:r>
              <w:r>
                <w:rPr>
                  <w:color w:val="0000FF"/>
                  <w:sz w:val="16"/>
                  <w:u w:val="single"/>
                </w:rPr>
                <w:t>stroitelstvo-rekonstruktsiyu-modernizatsiyu-obektov-agropromyshlennog</w:t>
              </w:r>
            </w:hyperlink>
          </w:p>
        </w:tc>
      </w:tr>
      <w:tr w:rsidR="001E7435">
        <w:trPr>
          <w:trHeight w:val="49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Название меры поддержки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 что предоставляется и объем поддержки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Источник информации</w:t>
            </w:r>
          </w:p>
        </w:tc>
      </w:tr>
      <w:tr w:rsidR="001E7435">
        <w:trPr>
          <w:trHeight w:val="79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>Грант «Агростартап» - на реализацию проектов по выращиванию</w:t>
            </w:r>
            <w:r>
              <w:rPr>
                <w:sz w:val="22"/>
              </w:rPr>
              <w:t xml:space="preserve"> картофеля, овощей, технических, плодовых, ягодных культур, грибов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Грант предоставляется на конкурсной основе начинающим фермерам (срок регистрации хозяйства – в году предоставления гранта), при условии разработки бизнес-плана проекта развития крестьянског</w:t>
            </w:r>
            <w:r>
              <w:rPr>
                <w:sz w:val="22"/>
              </w:rPr>
              <w:t>о (фермерского) хозяйства;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реализация проекта может быть направлена на выращивание картофеля, овощей, технических, плодовых, ягодных культур, грибов;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направления использования гранта - приобретение земельных участков, приобретение, строительство, ремонт, м</w:t>
            </w:r>
            <w:r>
              <w:rPr>
                <w:sz w:val="22"/>
              </w:rPr>
              <w:t>одернизация и (или) переустройство производственных и складских зданий, приобретение техники,  оборудования для производства, переработки и хранения сельскохозяйственной продукции;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размер гранта  - до 5 млн рублей с обязательным использованием собственных </w:t>
            </w:r>
            <w:r>
              <w:rPr>
                <w:sz w:val="22"/>
              </w:rPr>
              <w:t>средств (до 90% затрат по бизнес-плану – средства гранта, остальные – средства заявителя)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rPr>
                <w:color w:val="0000FF"/>
                <w:sz w:val="16"/>
                <w:u w:val="single"/>
              </w:rPr>
            </w:pPr>
            <w:r>
              <w:rPr>
                <w:color w:val="0000FF"/>
                <w:sz w:val="16"/>
                <w:u w:val="single"/>
              </w:rPr>
              <w:t>https://agro.gov35.ru/podderzhka-selkhoztovaroproizvoditeley/razvitie-malykh-formy-khozyaystvovaniya/sozdanie-sistemy-podderzhki-fermerov-i-razvitie-selskoy-kooperats</w:t>
            </w:r>
            <w:r>
              <w:rPr>
                <w:color w:val="0000FF"/>
                <w:sz w:val="16"/>
                <w:u w:val="single"/>
              </w:rPr>
              <w:t>ii-po-napravleniyu-grant-agrostartap</w:t>
            </w:r>
          </w:p>
        </w:tc>
      </w:tr>
      <w:tr w:rsidR="001E7435">
        <w:trPr>
          <w:trHeight w:val="26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17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Грант на развитие семейных ферм на реализацию проектов по выращиванию картофеля и (или) овощей </w:t>
            </w:r>
          </w:p>
          <w:p w:rsidR="001E7435" w:rsidRDefault="001E7435">
            <w:pPr>
              <w:ind w:firstLine="176"/>
              <w:jc w:val="both"/>
              <w:rPr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Грант предоставляется на конкурсной основе фермерам, чья деятельность ведется более 1 года, при условии разработки бизнес</w:t>
            </w:r>
            <w:r>
              <w:rPr>
                <w:sz w:val="22"/>
              </w:rPr>
              <w:t>-плана проекта развития крестьянского (фермерского) хозяйства;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реализация проекта может быть направлена на выращивание картофеля и (или) овощей;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направления использования гранта - приобретение земельных участков, приобретение, строительство, ремонт, модерн</w:t>
            </w:r>
            <w:r>
              <w:rPr>
                <w:sz w:val="22"/>
              </w:rPr>
              <w:t>изация и (или) переустройство производственных и складских зданий, приобретение техники,  оборудования для производства, переработки и хранения сельскохозяйственной продукции;</w:t>
            </w:r>
          </w:p>
          <w:p w:rsidR="001E7435" w:rsidRDefault="00BB56EA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размер гранта  - до 30 млн рублей с обязательным использованием собственных сред</w:t>
            </w:r>
            <w:r>
              <w:rPr>
                <w:sz w:val="22"/>
              </w:rPr>
              <w:t>ств (до 60% затрат по бизнес-плану – средства гранта, остальные – средства заявителя)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35" w:rsidRDefault="00BB56EA">
            <w:pPr>
              <w:rPr>
                <w:color w:val="0000FF"/>
                <w:sz w:val="16"/>
                <w:u w:val="single"/>
              </w:rPr>
            </w:pPr>
            <w:r>
              <w:rPr>
                <w:color w:val="0000FF"/>
                <w:sz w:val="16"/>
                <w:u w:val="single"/>
              </w:rPr>
              <w:t>https://agro.gov35.ru/podderzhka-selkhoztovaroproizvoditeley/razvitie-malykh-formy-khozyaystvovaniya/razvitie-semeynykh-ferm-</w:t>
            </w:r>
          </w:p>
        </w:tc>
      </w:tr>
    </w:tbl>
    <w:p w:rsidR="001E7435" w:rsidRDefault="001E7435">
      <w:pPr>
        <w:jc w:val="both"/>
        <w:rPr>
          <w:sz w:val="22"/>
        </w:rPr>
      </w:pPr>
    </w:p>
    <w:sectPr w:rsidR="001E7435">
      <w:headerReference w:type="default" r:id="rId25"/>
      <w:headerReference w:type="first" r:id="rId26"/>
      <w:pgSz w:w="16848" w:h="11908" w:orient="landscape"/>
      <w:pgMar w:top="425" w:right="680" w:bottom="85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56EA">
      <w:r>
        <w:separator/>
      </w:r>
    </w:p>
  </w:endnote>
  <w:endnote w:type="continuationSeparator" w:id="0">
    <w:p w:rsidR="00000000" w:rsidRDefault="00BB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56EA">
      <w:r>
        <w:separator/>
      </w:r>
    </w:p>
  </w:footnote>
  <w:footnote w:type="continuationSeparator" w:id="0">
    <w:p w:rsidR="00000000" w:rsidRDefault="00BB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35" w:rsidRDefault="00BB56EA">
    <w:pPr>
      <w:framePr w:wrap="around" w:vAnchor="text" w:hAnchor="margin" w:xAlign="center" w:y="1"/>
    </w:pPr>
    <w:r>
      <w:rPr>
        <w:rStyle w:val="af3"/>
      </w:rPr>
      <w:fldChar w:fldCharType="begin"/>
    </w:r>
    <w:r>
      <w:rPr>
        <w:rStyle w:val="af3"/>
      </w:rPr>
      <w:instrText xml:space="preserve">PAGE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1E7435" w:rsidRDefault="001E7435">
    <w:pPr>
      <w:pStyle w:val="af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35" w:rsidRDefault="001E7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62C4E"/>
    <w:multiLevelType w:val="multilevel"/>
    <w:tmpl w:val="DBE69760"/>
    <w:lvl w:ilvl="0">
      <w:start w:val="1"/>
      <w:numFmt w:val="decimal"/>
      <w:pStyle w:val="L999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35"/>
    <w:rsid w:val="001E7435"/>
    <w:rsid w:val="00B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688ED-F859-4EB5-AD8C-37C63F9C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32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Замещающий текст1"/>
    <w:basedOn w:val="13"/>
    <w:link w:val="a5"/>
    <w:rPr>
      <w:color w:val="808080"/>
    </w:rPr>
  </w:style>
  <w:style w:type="character" w:styleId="a5">
    <w:name w:val="Placeholder Text"/>
    <w:basedOn w:val="a0"/>
    <w:link w:val="12"/>
    <w:rPr>
      <w:color w:val="80808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6">
    <w:name w:val="Body Text Indent"/>
    <w:basedOn w:val="a"/>
    <w:link w:val="a7"/>
    <w:pPr>
      <w:spacing w:after="120"/>
      <w:ind w:left="283"/>
    </w:pPr>
  </w:style>
  <w:style w:type="character" w:customStyle="1" w:styleId="a7">
    <w:name w:val="Основной текст с отступом Знак"/>
    <w:basedOn w:val="1"/>
    <w:link w:val="a6"/>
  </w:style>
  <w:style w:type="paragraph" w:styleId="a8">
    <w:name w:val="Body Text"/>
    <w:basedOn w:val="a"/>
    <w:link w:val="a9"/>
    <w:rPr>
      <w:sz w:val="24"/>
    </w:rPr>
  </w:style>
  <w:style w:type="character" w:customStyle="1" w:styleId="a9">
    <w:name w:val="Основной текст Знак"/>
    <w:basedOn w:val="1"/>
    <w:link w:val="a8"/>
    <w:rPr>
      <w:sz w:val="24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b">
    <w:name w:val="Текст сноски Знак"/>
    <w:basedOn w:val="13"/>
    <w:link w:val="ac"/>
  </w:style>
  <w:style w:type="character" w:customStyle="1" w:styleId="ac">
    <w:name w:val="Текст сноски Знак"/>
    <w:basedOn w:val="a0"/>
    <w:link w:val="ab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sz w:val="32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</w:style>
  <w:style w:type="paragraph" w:styleId="af">
    <w:name w:val="Normal (Web)"/>
    <w:basedOn w:val="a"/>
    <w:link w:val="af0"/>
    <w:pPr>
      <w:spacing w:beforeAutospacing="1" w:afterAutospacing="1"/>
    </w:pPr>
    <w:rPr>
      <w:sz w:val="24"/>
    </w:r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yle1">
    <w:name w:val="Style1"/>
    <w:basedOn w:val="a"/>
    <w:link w:val="Style10"/>
    <w:pPr>
      <w:widowControl w:val="0"/>
      <w:spacing w:line="488" w:lineRule="exact"/>
      <w:ind w:firstLine="710"/>
      <w:jc w:val="both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styleId="af1">
    <w:name w:val="List Paragraph"/>
    <w:basedOn w:val="a"/>
    <w:link w:val="af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2">
    <w:name w:val="Абзац списка Знак"/>
    <w:basedOn w:val="1"/>
    <w:link w:val="af1"/>
    <w:rPr>
      <w:rFonts w:ascii="Calibri" w:hAnsi="Calibri"/>
      <w:sz w:val="22"/>
    </w:rPr>
  </w:style>
  <w:style w:type="paragraph" w:customStyle="1" w:styleId="15">
    <w:name w:val="Номер страницы1"/>
    <w:basedOn w:val="13"/>
    <w:link w:val="af3"/>
  </w:style>
  <w:style w:type="character" w:styleId="af3">
    <w:name w:val="page number"/>
    <w:basedOn w:val="a0"/>
    <w:link w:val="1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36"/>
    </w:rPr>
  </w:style>
  <w:style w:type="paragraph" w:customStyle="1" w:styleId="16">
    <w:name w:val="Обычный1"/>
    <w:link w:val="17"/>
    <w:pPr>
      <w:widowControl w:val="0"/>
      <w:spacing w:line="216" w:lineRule="auto"/>
      <w:ind w:firstLine="851"/>
      <w:jc w:val="both"/>
    </w:pPr>
    <w:rPr>
      <w:sz w:val="28"/>
    </w:rPr>
  </w:style>
  <w:style w:type="character" w:customStyle="1" w:styleId="17">
    <w:name w:val="Обычный1"/>
    <w:link w:val="16"/>
    <w:rPr>
      <w:sz w:val="28"/>
    </w:rPr>
  </w:style>
  <w:style w:type="paragraph" w:customStyle="1" w:styleId="13">
    <w:name w:val="Основной шрифт абзаца1"/>
    <w:link w:val="18"/>
  </w:style>
  <w:style w:type="paragraph" w:customStyle="1" w:styleId="18">
    <w:name w:val="Гиперссылка1"/>
    <w:link w:val="af4"/>
    <w:rPr>
      <w:color w:val="0000FF"/>
      <w:u w:val="single"/>
    </w:rPr>
  </w:style>
  <w:style w:type="character" w:styleId="af4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200" w:line="276" w:lineRule="auto"/>
    </w:pPr>
    <w:rPr>
      <w:rFonts w:ascii="Calibri" w:hAnsi="Calibri"/>
    </w:rPr>
  </w:style>
  <w:style w:type="character" w:customStyle="1" w:styleId="Footnote0">
    <w:name w:val="Footnote"/>
    <w:basedOn w:val="1"/>
    <w:link w:val="Footnote"/>
    <w:rPr>
      <w:rFonts w:ascii="Calibri" w:hAnsi="Calibri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estern">
    <w:name w:val="western"/>
    <w:basedOn w:val="a"/>
    <w:link w:val="western0"/>
    <w:pPr>
      <w:spacing w:beforeAutospacing="1" w:afterAutospacing="1"/>
    </w:pPr>
    <w:rPr>
      <w:sz w:val="24"/>
    </w:rPr>
  </w:style>
  <w:style w:type="character" w:customStyle="1" w:styleId="western0">
    <w:name w:val="western"/>
    <w:basedOn w:val="1"/>
    <w:link w:val="western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L999">
    <w:name w:val="! L=999 !"/>
    <w:basedOn w:val="a"/>
    <w:link w:val="L9990"/>
    <w:pPr>
      <w:numPr>
        <w:numId w:val="1"/>
      </w:numPr>
    </w:pPr>
  </w:style>
  <w:style w:type="character" w:customStyle="1" w:styleId="L9990">
    <w:name w:val="! L=999 !"/>
    <w:basedOn w:val="1"/>
    <w:link w:val="L999"/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FontStyle14">
    <w:name w:val="Font Style14"/>
    <w:link w:val="FontStyle140"/>
    <w:rPr>
      <w:b/>
      <w:sz w:val="24"/>
    </w:rPr>
  </w:style>
  <w:style w:type="character" w:customStyle="1" w:styleId="FontStyle140">
    <w:name w:val="Font Style14"/>
    <w:link w:val="FontStyle14"/>
    <w:rPr>
      <w:rFonts w:ascii="Times New Roman" w:hAnsi="Times New Roman"/>
      <w:b/>
      <w:sz w:val="24"/>
    </w:rPr>
  </w:style>
  <w:style w:type="paragraph" w:styleId="af7">
    <w:name w:val="Title"/>
    <w:basedOn w:val="a"/>
    <w:link w:val="af8"/>
    <w:uiPriority w:val="10"/>
    <w:qFormat/>
    <w:pPr>
      <w:widowControl w:val="0"/>
      <w:tabs>
        <w:tab w:val="left" w:pos="4678"/>
      </w:tabs>
      <w:ind w:left="-1134" w:right="4336" w:firstLine="284"/>
      <w:jc w:val="center"/>
    </w:pPr>
    <w:rPr>
      <w:sz w:val="28"/>
    </w:rPr>
  </w:style>
  <w:style w:type="character" w:customStyle="1" w:styleId="af8">
    <w:name w:val="Название Знак"/>
    <w:basedOn w:val="1"/>
    <w:link w:val="af7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sz w:val="40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1"/>
    <w:link w:val="afb"/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gov35.ru/podderzhka-selkhoztovaroproizvoditeley/rastenievodstvo/podderzhka-elitnogo-semenovodstva" TargetMode="External"/><Relationship Id="rId13" Type="http://schemas.openxmlformats.org/officeDocument/2006/relationships/hyperlink" Target="https://agro.gov35.ru/podderzhka-selkhoztovaroproizvoditeley/rastenievodstvo/vozmeshchenie-chasti-zatrat-na-priobretenie-energonositeley-v-ovoshchevodstve" TargetMode="External"/><Relationship Id="rId18" Type="http://schemas.openxmlformats.org/officeDocument/2006/relationships/hyperlink" Target="https://agro.gov35.ru/podderzhka-selkhoztovaroproizvoditeley/rastenievodstvo/realizatsiya-meropriyatiy-na-provedenie-kulturtekhnicheskikh-rabot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agro.gov35.ru/podderzhka-selkhoztovaroproizvoditeley/rastenievodstvo/vozmeshchenie-chasti-zatrat-po-razrabotke-proektno-smetnoy-dokumentatsii-na-stroitelstvo-rekonstrukts" TargetMode="External"/><Relationship Id="rId7" Type="http://schemas.openxmlformats.org/officeDocument/2006/relationships/hyperlink" Target="https://agro.gov35.ru/podderzhka-selkhoztovaroproizvoditeley/rastenievodstvo/vozmeshchenie-chasti-zatrat/" TargetMode="External"/><Relationship Id="rId12" Type="http://schemas.openxmlformats.org/officeDocument/2006/relationships/hyperlink" Target="https://agro.gov35.ru/podderzhka-selkhoztovaroproizvoditeley/rastenievodstvo/podderzhka-proizvodstva-tekhnicheskikh-kultur" TargetMode="External"/><Relationship Id="rId17" Type="http://schemas.openxmlformats.org/officeDocument/2006/relationships/hyperlink" Target="https://agro.gov35.ru/podderzhka-selkhoztovaroproizvoditeley/rastenievodstvo/vozmeshchenie-proizvoditelyam-zernovykh-kultur-chasti-zatrat-na-proizvodstvo-i-realizatsiyu-zernovykh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gro.gov35.ru/podderzhka-selkhoztovaroproizvoditeley/rastenievodstvo/zakladka-i-ukhod-za-mnogoletnimi-plodovymi-i-yagodnymi-nasazhdeniyami" TargetMode="External"/><Relationship Id="rId20" Type="http://schemas.openxmlformats.org/officeDocument/2006/relationships/hyperlink" Target="https://agro.gov35.ru/podderzhka-selkhoztovaroproizvoditeley/rastenievodstvo/izvestkovanie-kislykh-poch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ro.gov35.ru/podderzhka-selkhoztovaroproizvoditeley/rastenievodstvo/vozmeshchenie-chasti-zatrat-na-agrokhimicheskoe-i-ekologo-toksikologicheskoe-obsledovanie-zemel-sels" TargetMode="External"/><Relationship Id="rId24" Type="http://schemas.openxmlformats.org/officeDocument/2006/relationships/hyperlink" Target="https://agro.gov35.ru/podderzhka-selkhoztovaroproizvoditeley/modernizatsiya-i-realizatsiya-investitsionnykh-proektov/vozmeshchenie-chasti-zatrat-na-stroitelstvo-rekonstruktsiyu-modernizatsiyu-obektov-agropromyshlenno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gro.gov35.ru/podderzhka-selkhoztovaroproizvoditeley/rastenievodstvo/podderzhka-elitnogo-semenovodstva-v-ramkakh-stimulirovaniya-proizvodstva-kartofelya-i-ovoshchey-" TargetMode="External"/><Relationship Id="rId23" Type="http://schemas.openxmlformats.org/officeDocument/2006/relationships/hyperlink" Target="https://agro.gov35.ru/podderzhka-selkhoztovaroproizvoditeley/modernizatsiya-i-realizatsiya-investitsionnykh-proektov/vozmeshchenie-chasti-zatrat-na-priobretenie-tekhniki-mashin-i-oborudovaniy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gro.gov35.ru/podderzhka-selkhoztovaroproizvoditeley/rastenievodstvo/podderzhka-provedenie-kompleksa-agrotekhnologicheskikh-rabot" TargetMode="External"/><Relationship Id="rId19" Type="http://schemas.openxmlformats.org/officeDocument/2006/relationships/hyperlink" Target="https://agro.gov35.ru/podderzhka-selkhoztovaroproizvoditeley/rastenievodstvo/realizatsiya-meropriyatiy-na-provedenie-gidromeliorativnykh-meropriyat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ro.gov35.ru/podderzhka-selkhoztovaroproizvoditeley/rastenievodstvo/podderzhka-semenovodstva" TargetMode="External"/><Relationship Id="rId14" Type="http://schemas.openxmlformats.org/officeDocument/2006/relationships/hyperlink" Target="https://agro.gov35.ru/podderzhka-selkhoztovaroproizvoditeley/rastenievodstvo/podderzhka-proizvodstva-kartofelya-i-ovoshchey-otkrytogo-grunta" TargetMode="External"/><Relationship Id="rId22" Type="http://schemas.openxmlformats.org/officeDocument/2006/relationships/hyperlink" Target="https://agro.gov35.ru/podderzhka-selkhoztovaroproizvoditeley/rastenievodstvo/vozmeshchenie-chasti-zatrat-selkhoztovaroproizvoditeley-krestyanskikh-fermerskikh-khozyaystv-vklyu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KUI_9K</dc:creator>
  <cp:lastModifiedBy>KUI_9K</cp:lastModifiedBy>
  <cp:revision>2</cp:revision>
  <dcterms:created xsi:type="dcterms:W3CDTF">2023-09-05T07:58:00Z</dcterms:created>
  <dcterms:modified xsi:type="dcterms:W3CDTF">2023-09-05T07:58:00Z</dcterms:modified>
</cp:coreProperties>
</file>